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465254" w:rsidRPr="00483195" w:rsidP="00D5756C">
      <w:pPr>
        <w:spacing w:line="480" w:lineRule="auto"/>
        <w:jc w:val="center"/>
        <w:rPr>
          <w:rFonts w:ascii="Times New Roman" w:hAnsi="Times New Roman" w:cs="Times New Roman"/>
          <w:sz w:val="24"/>
          <w:szCs w:val="24"/>
        </w:rPr>
      </w:pPr>
    </w:p>
    <w:p w:rsidR="00150AC4" w:rsidRPr="00483195" w:rsidP="00D5756C">
      <w:pPr>
        <w:spacing w:line="480" w:lineRule="auto"/>
        <w:jc w:val="center"/>
        <w:rPr>
          <w:rFonts w:ascii="Times New Roman" w:hAnsi="Times New Roman" w:cs="Times New Roman"/>
          <w:sz w:val="24"/>
          <w:szCs w:val="24"/>
        </w:rPr>
      </w:pPr>
    </w:p>
    <w:p w:rsidR="00150AC4" w:rsidRPr="00483195" w:rsidP="00D5756C">
      <w:pPr>
        <w:spacing w:line="480" w:lineRule="auto"/>
        <w:jc w:val="center"/>
        <w:rPr>
          <w:rFonts w:ascii="Times New Roman" w:hAnsi="Times New Roman" w:cs="Times New Roman"/>
          <w:sz w:val="24"/>
          <w:szCs w:val="24"/>
        </w:rPr>
      </w:pPr>
    </w:p>
    <w:p w:rsidR="00001D17" w:rsidRPr="00483195" w:rsidP="00D5756C">
      <w:pPr>
        <w:spacing w:line="480" w:lineRule="auto"/>
        <w:jc w:val="center"/>
        <w:rPr>
          <w:rFonts w:ascii="Times New Roman" w:hAnsi="Times New Roman" w:cs="Times New Roman"/>
          <w:sz w:val="24"/>
          <w:szCs w:val="24"/>
        </w:rPr>
      </w:pPr>
    </w:p>
    <w:p w:rsidR="004A5BD5" w:rsidRPr="00483195" w:rsidP="00D5756C">
      <w:pPr>
        <w:spacing w:after="0" w:line="480" w:lineRule="auto"/>
        <w:rPr>
          <w:rFonts w:ascii="Times New Roman" w:eastAsia="Times New Roman" w:hAnsi="Times New Roman" w:cs="Times New Roman"/>
          <w:sz w:val="24"/>
          <w:szCs w:val="24"/>
        </w:rPr>
      </w:pPr>
    </w:p>
    <w:p w:rsidR="004A5BD5" w:rsidRPr="00483195" w:rsidP="00D5756C">
      <w:pPr>
        <w:spacing w:line="480" w:lineRule="auto"/>
        <w:jc w:val="center"/>
        <w:rPr>
          <w:rFonts w:ascii="Times New Roman" w:hAnsi="Times New Roman" w:cs="Times New Roman"/>
          <w:sz w:val="24"/>
          <w:szCs w:val="24"/>
        </w:rPr>
      </w:pPr>
    </w:p>
    <w:p w:rsidR="004A5BD5" w:rsidRPr="00483195" w:rsidP="00D5756C">
      <w:pPr>
        <w:spacing w:line="480" w:lineRule="auto"/>
        <w:jc w:val="center"/>
        <w:rPr>
          <w:rFonts w:ascii="Times New Roman" w:hAnsi="Times New Roman" w:cs="Times New Roman"/>
          <w:sz w:val="24"/>
          <w:szCs w:val="24"/>
        </w:rPr>
      </w:pPr>
    </w:p>
    <w:p w:rsidR="004A5BD5" w:rsidRPr="00483195" w:rsidP="00D5756C">
      <w:pPr>
        <w:spacing w:line="480" w:lineRule="auto"/>
        <w:jc w:val="center"/>
        <w:rPr>
          <w:rFonts w:ascii="Times New Roman" w:hAnsi="Times New Roman" w:cs="Times New Roman"/>
          <w:sz w:val="24"/>
          <w:szCs w:val="24"/>
        </w:rPr>
      </w:pPr>
    </w:p>
    <w:p w:rsidR="002179FB" w:rsidRPr="00483195" w:rsidP="00D5756C">
      <w:pPr>
        <w:spacing w:line="480" w:lineRule="auto"/>
        <w:jc w:val="center"/>
        <w:rPr>
          <w:rFonts w:ascii="Times New Roman" w:hAnsi="Times New Roman" w:cs="Times New Roman"/>
          <w:sz w:val="24"/>
          <w:szCs w:val="24"/>
        </w:rPr>
      </w:pPr>
      <w:r w:rsidRPr="00483195">
        <w:rPr>
          <w:rFonts w:ascii="Times New Roman" w:hAnsi="Times New Roman" w:cs="Times New Roman"/>
          <w:sz w:val="24"/>
          <w:szCs w:val="24"/>
          <w:shd w:val="clear" w:color="auto" w:fill="FFFFFF"/>
        </w:rPr>
        <w:t xml:space="preserve">Brief Case on </w:t>
      </w:r>
      <w:r w:rsidRPr="00483195" w:rsidR="00714D0A">
        <w:rPr>
          <w:rFonts w:ascii="Times New Roman" w:hAnsi="Times New Roman" w:cs="Times New Roman"/>
          <w:sz w:val="24"/>
          <w:szCs w:val="24"/>
          <w:shd w:val="clear" w:color="auto" w:fill="FFFFFF"/>
        </w:rPr>
        <w:t>KIRK v</w:t>
      </w:r>
      <w:r w:rsidRPr="00483195">
        <w:rPr>
          <w:rFonts w:ascii="Times New Roman" w:hAnsi="Times New Roman" w:cs="Times New Roman"/>
          <w:sz w:val="24"/>
          <w:szCs w:val="24"/>
          <w:shd w:val="clear" w:color="auto" w:fill="FFFFFF"/>
        </w:rPr>
        <w:t>.</w:t>
      </w:r>
      <w:r w:rsidRPr="00483195" w:rsidR="00714D0A">
        <w:rPr>
          <w:rFonts w:ascii="Times New Roman" w:hAnsi="Times New Roman" w:cs="Times New Roman"/>
          <w:sz w:val="24"/>
          <w:szCs w:val="24"/>
          <w:shd w:val="clear" w:color="auto" w:fill="FFFFFF"/>
        </w:rPr>
        <w:t xml:space="preserve"> CITY OF SHAWNEE</w:t>
      </w:r>
      <w:r w:rsidRPr="00483195">
        <w:rPr>
          <w:rFonts w:ascii="Times New Roman" w:hAnsi="Times New Roman" w:cs="Times New Roman"/>
          <w:sz w:val="24"/>
          <w:szCs w:val="24"/>
        </w:rPr>
        <w:t xml:space="preserve"> </w:t>
      </w:r>
    </w:p>
    <w:p w:rsidR="0074251F" w:rsidRPr="00483195" w:rsidP="00D5756C">
      <w:pPr>
        <w:spacing w:line="480" w:lineRule="auto"/>
        <w:jc w:val="center"/>
        <w:rPr>
          <w:rFonts w:ascii="Times New Roman" w:hAnsi="Times New Roman" w:cs="Times New Roman"/>
          <w:sz w:val="24"/>
          <w:szCs w:val="24"/>
        </w:rPr>
      </w:pPr>
      <w:r w:rsidRPr="00483195">
        <w:rPr>
          <w:rFonts w:ascii="Times New Roman" w:hAnsi="Times New Roman" w:cs="Times New Roman"/>
          <w:sz w:val="24"/>
          <w:szCs w:val="24"/>
        </w:rPr>
        <w:t>(Students Name)</w:t>
      </w:r>
    </w:p>
    <w:p w:rsidR="0074251F" w:rsidRPr="00483195" w:rsidP="00D5756C">
      <w:pPr>
        <w:spacing w:line="480" w:lineRule="auto"/>
        <w:jc w:val="center"/>
        <w:rPr>
          <w:rFonts w:ascii="Times New Roman" w:hAnsi="Times New Roman" w:cs="Times New Roman"/>
          <w:sz w:val="24"/>
          <w:szCs w:val="24"/>
        </w:rPr>
      </w:pPr>
      <w:r w:rsidRPr="00483195">
        <w:rPr>
          <w:rFonts w:ascii="Times New Roman" w:hAnsi="Times New Roman" w:cs="Times New Roman"/>
          <w:sz w:val="24"/>
          <w:szCs w:val="24"/>
        </w:rPr>
        <w:t xml:space="preserve"> (Institutional Affiliation)</w:t>
      </w:r>
    </w:p>
    <w:p w:rsidR="00001D17" w:rsidRPr="00483195" w:rsidP="00D5756C">
      <w:pPr>
        <w:spacing w:line="480" w:lineRule="auto"/>
        <w:jc w:val="center"/>
        <w:rPr>
          <w:rFonts w:ascii="Times New Roman" w:hAnsi="Times New Roman" w:cs="Times New Roman"/>
          <w:sz w:val="24"/>
          <w:szCs w:val="24"/>
        </w:rPr>
      </w:pPr>
    </w:p>
    <w:p w:rsidR="00755B66" w:rsidRPr="00483195" w:rsidP="00D5756C">
      <w:pPr>
        <w:spacing w:line="480" w:lineRule="auto"/>
        <w:jc w:val="center"/>
        <w:rPr>
          <w:rFonts w:ascii="Times New Roman" w:hAnsi="Times New Roman" w:cs="Times New Roman"/>
          <w:sz w:val="24"/>
          <w:szCs w:val="24"/>
        </w:rPr>
      </w:pPr>
    </w:p>
    <w:p w:rsidR="0074251F" w:rsidRPr="00483195" w:rsidP="00D5756C">
      <w:pPr>
        <w:spacing w:line="480" w:lineRule="auto"/>
        <w:jc w:val="center"/>
        <w:rPr>
          <w:rFonts w:ascii="Times New Roman" w:hAnsi="Times New Roman" w:cs="Times New Roman"/>
          <w:sz w:val="24"/>
          <w:szCs w:val="24"/>
        </w:rPr>
      </w:pPr>
    </w:p>
    <w:p w:rsidR="0074251F" w:rsidRPr="00483195" w:rsidP="00D5756C">
      <w:pPr>
        <w:spacing w:line="480" w:lineRule="auto"/>
        <w:jc w:val="center"/>
        <w:rPr>
          <w:rFonts w:ascii="Times New Roman" w:hAnsi="Times New Roman" w:cs="Times New Roman"/>
          <w:sz w:val="24"/>
          <w:szCs w:val="24"/>
        </w:rPr>
      </w:pPr>
    </w:p>
    <w:p w:rsidR="0074251F" w:rsidRPr="00483195" w:rsidP="00D5756C">
      <w:pPr>
        <w:spacing w:line="480" w:lineRule="auto"/>
        <w:jc w:val="center"/>
        <w:rPr>
          <w:rFonts w:ascii="Times New Roman" w:hAnsi="Times New Roman" w:cs="Times New Roman"/>
          <w:sz w:val="24"/>
          <w:szCs w:val="24"/>
        </w:rPr>
      </w:pPr>
    </w:p>
    <w:p w:rsidR="0074251F" w:rsidRPr="00483195" w:rsidP="00D5756C">
      <w:pPr>
        <w:spacing w:line="480" w:lineRule="auto"/>
        <w:jc w:val="center"/>
        <w:rPr>
          <w:rFonts w:ascii="Times New Roman" w:hAnsi="Times New Roman" w:cs="Times New Roman"/>
          <w:sz w:val="24"/>
          <w:szCs w:val="24"/>
        </w:rPr>
      </w:pPr>
    </w:p>
    <w:p w:rsidR="00755B66" w:rsidRPr="00483195" w:rsidP="00D5756C">
      <w:pPr>
        <w:spacing w:line="480" w:lineRule="auto"/>
        <w:jc w:val="center"/>
        <w:rPr>
          <w:rFonts w:ascii="Times New Roman" w:hAnsi="Times New Roman" w:cs="Times New Roman"/>
          <w:sz w:val="24"/>
          <w:szCs w:val="24"/>
        </w:rPr>
      </w:pPr>
    </w:p>
    <w:p w:rsidR="00755B66" w:rsidRPr="00483195" w:rsidP="00D5756C">
      <w:pPr>
        <w:spacing w:line="480" w:lineRule="auto"/>
        <w:jc w:val="center"/>
        <w:rPr>
          <w:rFonts w:ascii="Times New Roman" w:hAnsi="Times New Roman" w:cs="Times New Roman"/>
          <w:sz w:val="24"/>
          <w:szCs w:val="24"/>
        </w:rPr>
      </w:pPr>
    </w:p>
    <w:p w:rsidR="00C668B2" w:rsidRPr="00483195" w:rsidP="00AE4F40">
      <w:pPr>
        <w:spacing w:line="480" w:lineRule="auto"/>
        <w:jc w:val="center"/>
        <w:rPr>
          <w:rFonts w:ascii="Times New Roman" w:hAnsi="Times New Roman" w:cs="Times New Roman"/>
          <w:b/>
          <w:sz w:val="24"/>
          <w:szCs w:val="24"/>
        </w:rPr>
      </w:pPr>
      <w:bookmarkStart w:id="0" w:name="_GoBack"/>
      <w:bookmarkEnd w:id="0"/>
      <w:r w:rsidRPr="00483195">
        <w:rPr>
          <w:rFonts w:ascii="Times New Roman" w:hAnsi="Times New Roman" w:cs="Times New Roman"/>
          <w:b/>
          <w:sz w:val="24"/>
          <w:szCs w:val="24"/>
        </w:rPr>
        <w:t>KIRK v. CITY OF SHAWNEE</w:t>
      </w:r>
    </w:p>
    <w:p w:rsidR="002A09F4" w:rsidRPr="00483195" w:rsidP="00D5756C">
      <w:pPr>
        <w:spacing w:line="480" w:lineRule="auto"/>
        <w:rPr>
          <w:rFonts w:ascii="Times New Roman" w:hAnsi="Times New Roman" w:cs="Times New Roman"/>
          <w:b/>
          <w:sz w:val="24"/>
          <w:szCs w:val="24"/>
        </w:rPr>
      </w:pPr>
      <w:r w:rsidRPr="00483195">
        <w:rPr>
          <w:rFonts w:ascii="Times New Roman" w:hAnsi="Times New Roman" w:cs="Times New Roman"/>
          <w:b/>
          <w:sz w:val="24"/>
          <w:szCs w:val="24"/>
        </w:rPr>
        <w:t xml:space="preserve">Citation </w:t>
      </w:r>
      <w:r w:rsidRPr="00483195">
        <w:rPr>
          <w:rFonts w:ascii="Times New Roman" w:hAnsi="Times New Roman" w:cs="Times New Roman"/>
          <w:b/>
          <w:sz w:val="24"/>
          <w:szCs w:val="24"/>
        </w:rPr>
        <w:tab/>
      </w:r>
      <w:r w:rsidRPr="00483195">
        <w:rPr>
          <w:rFonts w:ascii="Times New Roman" w:hAnsi="Times New Roman" w:cs="Times New Roman"/>
          <w:sz w:val="24"/>
          <w:szCs w:val="24"/>
        </w:rPr>
        <w:t>(No. 84489 – 8/11/2000)</w:t>
      </w:r>
    </w:p>
    <w:p w:rsidR="00714D0A" w:rsidRPr="00483195" w:rsidP="00D5756C">
      <w:pPr>
        <w:spacing w:line="480" w:lineRule="auto"/>
        <w:rPr>
          <w:rFonts w:ascii="Times New Roman" w:hAnsi="Times New Roman" w:cs="Times New Roman"/>
          <w:sz w:val="24"/>
          <w:szCs w:val="24"/>
        </w:rPr>
      </w:pPr>
      <w:r w:rsidRPr="00483195">
        <w:rPr>
          <w:rFonts w:ascii="Times New Roman" w:hAnsi="Times New Roman" w:cs="Times New Roman"/>
          <w:b/>
          <w:sz w:val="24"/>
          <w:szCs w:val="24"/>
        </w:rPr>
        <w:t xml:space="preserve">Brief Summary: </w:t>
      </w:r>
      <w:r w:rsidRPr="00483195">
        <w:rPr>
          <w:rFonts w:ascii="Times New Roman" w:hAnsi="Times New Roman" w:cs="Times New Roman"/>
          <w:sz w:val="24"/>
          <w:szCs w:val="24"/>
        </w:rPr>
        <w:t xml:space="preserve">The federal explains that governmental agency employee owes the public the specific duties described in their line of work. </w:t>
      </w:r>
      <w:r w:rsidRPr="00483195" w:rsidR="00B24A02">
        <w:rPr>
          <w:rFonts w:ascii="Times New Roman" w:hAnsi="Times New Roman" w:cs="Times New Roman"/>
          <w:sz w:val="24"/>
          <w:szCs w:val="24"/>
        </w:rPr>
        <w:t xml:space="preserve">In cases where an individual seeks to take legal action against a governmental agency for negligence of </w:t>
      </w:r>
      <w:r w:rsidRPr="00483195" w:rsidR="00F73FE3">
        <w:rPr>
          <w:rFonts w:ascii="Times New Roman" w:hAnsi="Times New Roman" w:cs="Times New Roman"/>
          <w:sz w:val="24"/>
          <w:szCs w:val="24"/>
        </w:rPr>
        <w:t>the Public Doctrine Policy</w:t>
      </w:r>
      <w:r w:rsidRPr="00483195" w:rsidR="00B24A02">
        <w:rPr>
          <w:rFonts w:ascii="Times New Roman" w:hAnsi="Times New Roman" w:cs="Times New Roman"/>
          <w:sz w:val="24"/>
          <w:szCs w:val="24"/>
        </w:rPr>
        <w:t>, establish</w:t>
      </w:r>
      <w:r w:rsidRPr="00483195" w:rsidR="00F73FE3">
        <w:rPr>
          <w:rFonts w:ascii="Times New Roman" w:hAnsi="Times New Roman" w:cs="Times New Roman"/>
          <w:sz w:val="24"/>
          <w:szCs w:val="24"/>
        </w:rPr>
        <w:t>ment of</w:t>
      </w:r>
      <w:r w:rsidRPr="00483195" w:rsidR="00B24A02">
        <w:rPr>
          <w:rFonts w:ascii="Times New Roman" w:hAnsi="Times New Roman" w:cs="Times New Roman"/>
          <w:sz w:val="24"/>
          <w:szCs w:val="24"/>
        </w:rPr>
        <w:t xml:space="preserve"> liability to the given agency demands that the appellant be able to establish the facts that the defendant owed them a duty, show evidence of breach of duty among showing that the identified breach of duty </w:t>
      </w:r>
      <w:r w:rsidRPr="00483195" w:rsidR="00B24A02">
        <w:rPr>
          <w:rFonts w:ascii="Times New Roman" w:hAnsi="Times New Roman" w:cs="Times New Roman"/>
          <w:noProof/>
          <w:sz w:val="24"/>
          <w:szCs w:val="24"/>
        </w:rPr>
        <w:t>lead</w:t>
      </w:r>
      <w:r w:rsidR="00483195">
        <w:rPr>
          <w:rFonts w:ascii="Times New Roman" w:hAnsi="Times New Roman" w:cs="Times New Roman"/>
          <w:noProof/>
          <w:sz w:val="24"/>
          <w:szCs w:val="24"/>
        </w:rPr>
        <w:t>s</w:t>
      </w:r>
      <w:r w:rsidRPr="00483195" w:rsidR="00B24A02">
        <w:rPr>
          <w:rFonts w:ascii="Times New Roman" w:hAnsi="Times New Roman" w:cs="Times New Roman"/>
          <w:sz w:val="24"/>
          <w:szCs w:val="24"/>
        </w:rPr>
        <w:t xml:space="preserve"> to the injury of the plaintiff. Kirk and Mullin challenged the City of Shawnee for </w:t>
      </w:r>
      <w:r w:rsidR="00483195">
        <w:rPr>
          <w:rFonts w:ascii="Times New Roman" w:hAnsi="Times New Roman" w:cs="Times New Roman"/>
          <w:sz w:val="24"/>
          <w:szCs w:val="24"/>
        </w:rPr>
        <w:t xml:space="preserve">the </w:t>
      </w:r>
      <w:r w:rsidRPr="00483195" w:rsidR="00B24A02">
        <w:rPr>
          <w:rFonts w:ascii="Times New Roman" w:hAnsi="Times New Roman" w:cs="Times New Roman"/>
          <w:noProof/>
          <w:sz w:val="24"/>
          <w:szCs w:val="24"/>
        </w:rPr>
        <w:t>negligence</w:t>
      </w:r>
      <w:r w:rsidRPr="00483195" w:rsidR="00B24A02">
        <w:rPr>
          <w:rFonts w:ascii="Times New Roman" w:hAnsi="Times New Roman" w:cs="Times New Roman"/>
          <w:sz w:val="24"/>
          <w:szCs w:val="24"/>
        </w:rPr>
        <w:t xml:space="preserve"> of the public duty doctrine when they state police failed to protect the deceased Kathryn Stewart when she was murdered by her husband.  The incident occurred days after the deceased had continuously requested the sheriff department for protection from her aggressive husband. </w:t>
      </w:r>
      <w:r w:rsidRPr="00483195" w:rsidR="003B21BD">
        <w:rPr>
          <w:rFonts w:ascii="Times New Roman" w:hAnsi="Times New Roman" w:cs="Times New Roman"/>
          <w:sz w:val="24"/>
          <w:szCs w:val="24"/>
        </w:rPr>
        <w:t xml:space="preserve">The state department on its side had responded to the requests stating that the sheriff department had no power to keep officers at her house past working hours. The court confirmed the previous court ruling in </w:t>
      </w:r>
      <w:r w:rsidRPr="00483195" w:rsidR="003B21BD">
        <w:rPr>
          <w:rFonts w:ascii="Times New Roman" w:hAnsi="Times New Roman" w:cs="Times New Roman"/>
          <w:noProof/>
          <w:sz w:val="24"/>
          <w:szCs w:val="24"/>
        </w:rPr>
        <w:t>favor</w:t>
      </w:r>
      <w:r w:rsidRPr="00483195" w:rsidR="003B21BD">
        <w:rPr>
          <w:rFonts w:ascii="Times New Roman" w:hAnsi="Times New Roman" w:cs="Times New Roman"/>
          <w:sz w:val="24"/>
          <w:szCs w:val="24"/>
        </w:rPr>
        <w:t xml:space="preserve"> of the City of Shawnee that the police department owed not individualized duty to protect the deceased.</w:t>
      </w:r>
    </w:p>
    <w:p w:rsidR="003B21BD" w:rsidRPr="00483195" w:rsidP="00D5756C">
      <w:pPr>
        <w:spacing w:line="480" w:lineRule="auto"/>
        <w:rPr>
          <w:rFonts w:ascii="Times New Roman" w:hAnsi="Times New Roman" w:cs="Times New Roman"/>
          <w:sz w:val="24"/>
          <w:szCs w:val="24"/>
        </w:rPr>
      </w:pPr>
      <w:r w:rsidRPr="00483195">
        <w:rPr>
          <w:rFonts w:ascii="Times New Roman" w:hAnsi="Times New Roman" w:cs="Times New Roman"/>
          <w:sz w:val="24"/>
          <w:szCs w:val="24"/>
        </w:rPr>
        <w:tab/>
        <w:t xml:space="preserve">The first case was filled in 1998, a wrongful death and survivor case was filled to challenge the liability of the City of Shawnee in the events leading to the death of Kathryn. The appellant claimed that the city police department breached the duty owed the plaintiff in regards to protection against domestic violence. The ruling was delivered that the city was immune from </w:t>
      </w:r>
      <w:r w:rsidRPr="00483195" w:rsidR="00597483">
        <w:rPr>
          <w:rFonts w:ascii="Times New Roman" w:hAnsi="Times New Roman" w:cs="Times New Roman"/>
          <w:sz w:val="24"/>
          <w:szCs w:val="24"/>
        </w:rPr>
        <w:t xml:space="preserve">the claimed liabilities. The second appeal was </w:t>
      </w:r>
      <w:r w:rsidRPr="00483195" w:rsidR="00597483">
        <w:rPr>
          <w:rFonts w:ascii="Times New Roman" w:hAnsi="Times New Roman" w:cs="Times New Roman"/>
          <w:noProof/>
          <w:sz w:val="24"/>
          <w:szCs w:val="24"/>
        </w:rPr>
        <w:t>filed</w:t>
      </w:r>
      <w:r w:rsidRPr="00483195" w:rsidR="00597483">
        <w:rPr>
          <w:rFonts w:ascii="Times New Roman" w:hAnsi="Times New Roman" w:cs="Times New Roman"/>
          <w:sz w:val="24"/>
          <w:szCs w:val="24"/>
        </w:rPr>
        <w:t xml:space="preserve"> to challenge the court's ruling. The ruling provided focused on the language used in the PFA order obtained by Kathryn. The court held the ruling that the City was once again immune from the liabilities </w:t>
      </w:r>
      <w:r w:rsidRPr="00483195" w:rsidR="00597483">
        <w:rPr>
          <w:rFonts w:ascii="Times New Roman" w:hAnsi="Times New Roman" w:cs="Times New Roman"/>
          <w:sz w:val="24"/>
          <w:szCs w:val="24"/>
        </w:rPr>
        <w:t xml:space="preserve">based on the PFA order that allowed Rolland, the killer to be in the premises at the time of </w:t>
      </w:r>
      <w:r w:rsidR="00483195">
        <w:rPr>
          <w:rFonts w:ascii="Times New Roman" w:hAnsi="Times New Roman" w:cs="Times New Roman"/>
          <w:sz w:val="24"/>
          <w:szCs w:val="24"/>
        </w:rPr>
        <w:t xml:space="preserve">the </w:t>
      </w:r>
      <w:r w:rsidRPr="00483195" w:rsidR="00597483">
        <w:rPr>
          <w:rFonts w:ascii="Times New Roman" w:hAnsi="Times New Roman" w:cs="Times New Roman"/>
          <w:noProof/>
          <w:sz w:val="24"/>
          <w:szCs w:val="24"/>
        </w:rPr>
        <w:t>shooting</w:t>
      </w:r>
      <w:r w:rsidRPr="00483195" w:rsidR="00597483">
        <w:rPr>
          <w:rFonts w:ascii="Times New Roman" w:hAnsi="Times New Roman" w:cs="Times New Roman"/>
          <w:sz w:val="24"/>
          <w:szCs w:val="24"/>
        </w:rPr>
        <w:t>.</w:t>
      </w:r>
    </w:p>
    <w:p w:rsidR="00597483" w:rsidRPr="00483195" w:rsidP="00D5756C">
      <w:pPr>
        <w:spacing w:line="480" w:lineRule="auto"/>
        <w:rPr>
          <w:rFonts w:ascii="Times New Roman" w:hAnsi="Times New Roman" w:cs="Times New Roman"/>
          <w:sz w:val="24"/>
          <w:szCs w:val="24"/>
        </w:rPr>
      </w:pPr>
      <w:r w:rsidRPr="00483195">
        <w:rPr>
          <w:rFonts w:ascii="Times New Roman" w:hAnsi="Times New Roman" w:cs="Times New Roman"/>
          <w:b/>
          <w:sz w:val="24"/>
          <w:szCs w:val="24"/>
        </w:rPr>
        <w:t xml:space="preserve">Primary Issue: </w:t>
      </w:r>
      <w:r w:rsidRPr="00483195">
        <w:rPr>
          <w:rFonts w:ascii="Times New Roman" w:hAnsi="Times New Roman" w:cs="Times New Roman"/>
          <w:sz w:val="24"/>
          <w:szCs w:val="24"/>
        </w:rPr>
        <w:t>The Kansas Tort Claims Act (KTCA) requires that in order for an appellant to demonstrate possible liability and negligence against a governmental officer and or institution, they have to establish that the defendant owed duty to the plaintiff, show that duty was breached and that the breach of duty was the ultimate cause of the plaintiffs’ injury</w:t>
      </w:r>
      <w:sdt>
        <w:sdtPr>
          <w:rPr>
            <w:rFonts w:ascii="Times New Roman" w:hAnsi="Times New Roman" w:cs="Times New Roman"/>
            <w:sz w:val="24"/>
            <w:szCs w:val="24"/>
          </w:rPr>
          <w:id w:val="1785382102"/>
          <w:citation/>
        </w:sdtPr>
        <w:sdtContent>
          <w:r w:rsidRPr="00483195" w:rsidR="00BE325F">
            <w:rPr>
              <w:rFonts w:ascii="Times New Roman" w:hAnsi="Times New Roman" w:cs="Times New Roman"/>
              <w:sz w:val="24"/>
              <w:szCs w:val="24"/>
            </w:rPr>
            <w:fldChar w:fldCharType="begin"/>
          </w:r>
          <w:r w:rsidRPr="00483195" w:rsidR="00BE325F">
            <w:rPr>
              <w:rFonts w:ascii="Times New Roman" w:hAnsi="Times New Roman" w:cs="Times New Roman"/>
              <w:sz w:val="24"/>
              <w:szCs w:val="24"/>
            </w:rPr>
            <w:instrText xml:space="preserve"> CITATION Kir00 \l 1033 </w:instrText>
          </w:r>
          <w:r w:rsidRPr="00483195" w:rsidR="00BE325F">
            <w:rPr>
              <w:rFonts w:ascii="Times New Roman" w:hAnsi="Times New Roman" w:cs="Times New Roman"/>
              <w:sz w:val="24"/>
              <w:szCs w:val="24"/>
            </w:rPr>
            <w:fldChar w:fldCharType="separate"/>
          </w:r>
          <w:r w:rsidRPr="00483195" w:rsidR="00BE325F">
            <w:rPr>
              <w:rFonts w:ascii="Times New Roman" w:hAnsi="Times New Roman" w:cs="Times New Roman"/>
              <w:noProof/>
              <w:sz w:val="24"/>
              <w:szCs w:val="24"/>
            </w:rPr>
            <w:t xml:space="preserve"> (Kansas Opinions, 2000)</w:t>
          </w:r>
          <w:r w:rsidRPr="00483195" w:rsidR="00BE325F">
            <w:rPr>
              <w:rFonts w:ascii="Times New Roman" w:hAnsi="Times New Roman" w:cs="Times New Roman"/>
              <w:sz w:val="24"/>
              <w:szCs w:val="24"/>
            </w:rPr>
            <w:fldChar w:fldCharType="end"/>
          </w:r>
        </w:sdtContent>
      </w:sdt>
      <w:r w:rsidRPr="00483195">
        <w:rPr>
          <w:rFonts w:ascii="Times New Roman" w:hAnsi="Times New Roman" w:cs="Times New Roman"/>
          <w:sz w:val="24"/>
          <w:szCs w:val="24"/>
        </w:rPr>
        <w:t xml:space="preserve">. In addition to </w:t>
      </w:r>
      <w:r w:rsidRPr="00483195">
        <w:rPr>
          <w:rFonts w:ascii="Times New Roman" w:hAnsi="Times New Roman" w:cs="Times New Roman"/>
          <w:noProof/>
          <w:sz w:val="24"/>
          <w:szCs w:val="24"/>
        </w:rPr>
        <w:t>this</w:t>
      </w:r>
      <w:r w:rsidR="00483195">
        <w:rPr>
          <w:rFonts w:ascii="Times New Roman" w:hAnsi="Times New Roman" w:cs="Times New Roman"/>
          <w:noProof/>
          <w:sz w:val="24"/>
          <w:szCs w:val="24"/>
        </w:rPr>
        <w:t>,</w:t>
      </w:r>
      <w:r w:rsidRPr="00483195">
        <w:rPr>
          <w:rFonts w:ascii="Times New Roman" w:hAnsi="Times New Roman" w:cs="Times New Roman"/>
          <w:sz w:val="24"/>
          <w:szCs w:val="24"/>
        </w:rPr>
        <w:t xml:space="preserve"> the appellant must show evidence that the plaintiff sustained damages from the above-mentioned negligence. Based on the definitions of this act, can </w:t>
      </w:r>
      <w:r w:rsidRPr="00483195" w:rsidR="00BE325F">
        <w:rPr>
          <w:rFonts w:ascii="Times New Roman" w:hAnsi="Times New Roman" w:cs="Times New Roman"/>
          <w:sz w:val="24"/>
          <w:szCs w:val="24"/>
        </w:rPr>
        <w:t xml:space="preserve">a government official be liable for </w:t>
      </w:r>
      <w:r w:rsidR="00483195">
        <w:rPr>
          <w:rFonts w:ascii="Times New Roman" w:hAnsi="Times New Roman" w:cs="Times New Roman"/>
          <w:sz w:val="24"/>
          <w:szCs w:val="24"/>
        </w:rPr>
        <w:t xml:space="preserve">an </w:t>
      </w:r>
      <w:r w:rsidRPr="00483195" w:rsidR="00BE325F">
        <w:rPr>
          <w:rFonts w:ascii="Times New Roman" w:hAnsi="Times New Roman" w:cs="Times New Roman"/>
          <w:noProof/>
          <w:sz w:val="24"/>
          <w:szCs w:val="24"/>
        </w:rPr>
        <w:t>alleged</w:t>
      </w:r>
      <w:r w:rsidRPr="00483195" w:rsidR="00BE325F">
        <w:rPr>
          <w:rFonts w:ascii="Times New Roman" w:hAnsi="Times New Roman" w:cs="Times New Roman"/>
          <w:sz w:val="24"/>
          <w:szCs w:val="24"/>
        </w:rPr>
        <w:t xml:space="preserve"> tort if the conditions leading to the incident were allowed in different official documentation?
</w:t>
      </w:r>
    </w:p>
    <w:p w:rsidR="00BE325F" w:rsidRPr="00483195" w:rsidP="00D5756C">
      <w:pPr>
        <w:spacing w:line="480" w:lineRule="auto"/>
        <w:rPr>
          <w:rFonts w:ascii="Times New Roman" w:hAnsi="Times New Roman" w:cs="Times New Roman"/>
          <w:b/>
          <w:sz w:val="24"/>
          <w:szCs w:val="24"/>
        </w:rPr>
      </w:pPr>
      <w:r w:rsidRPr="00483195">
        <w:rPr>
          <w:rFonts w:ascii="Times New Roman" w:hAnsi="Times New Roman" w:cs="Times New Roman"/>
          <w:b/>
          <w:sz w:val="24"/>
          <w:szCs w:val="24"/>
        </w:rPr>
        <w:t>Facts About the Case</w:t>
      </w:r>
    </w:p>
    <w:p w:rsidR="00714D0A" w:rsidRPr="00483195" w:rsidP="00D5756C">
      <w:pPr>
        <w:spacing w:line="480" w:lineRule="auto"/>
        <w:ind w:firstLine="708"/>
        <w:rPr>
          <w:rFonts w:ascii="Times New Roman" w:hAnsi="Times New Roman" w:cs="Times New Roman"/>
          <w:sz w:val="24"/>
          <w:szCs w:val="24"/>
        </w:rPr>
      </w:pPr>
      <w:r w:rsidRPr="00483195">
        <w:rPr>
          <w:rFonts w:ascii="Times New Roman" w:hAnsi="Times New Roman" w:cs="Times New Roman"/>
          <w:sz w:val="24"/>
          <w:szCs w:val="24"/>
        </w:rPr>
        <w:t>The ruling of the case was defined by a selection of rules that had been in existence at the time of the challenge. The KTCA rolls out the situations under which government officers and institutions are liable to torts</w:t>
      </w:r>
      <w:sdt>
        <w:sdtPr>
          <w:rPr>
            <w:rFonts w:ascii="Times New Roman" w:hAnsi="Times New Roman" w:cs="Times New Roman"/>
            <w:sz w:val="24"/>
            <w:szCs w:val="24"/>
          </w:rPr>
          <w:id w:val="-1763439531"/>
          <w:citation/>
        </w:sdtPr>
        <w:sdtContent>
          <w:r w:rsidRPr="00483195" w:rsidR="00483195">
            <w:rPr>
              <w:rFonts w:ascii="Times New Roman" w:hAnsi="Times New Roman" w:cs="Times New Roman"/>
              <w:sz w:val="24"/>
              <w:szCs w:val="24"/>
            </w:rPr>
            <w:fldChar w:fldCharType="begin"/>
          </w:r>
          <w:r w:rsidRPr="00483195" w:rsidR="00483195">
            <w:rPr>
              <w:rFonts w:ascii="Times New Roman" w:hAnsi="Times New Roman" w:cs="Times New Roman"/>
              <w:sz w:val="24"/>
              <w:szCs w:val="24"/>
            </w:rPr>
            <w:instrText xml:space="preserve"> CITATION Dan12 \l 1033 </w:instrText>
          </w:r>
          <w:r w:rsidRPr="00483195" w:rsidR="00483195">
            <w:rPr>
              <w:rFonts w:ascii="Times New Roman" w:hAnsi="Times New Roman" w:cs="Times New Roman"/>
              <w:sz w:val="24"/>
              <w:szCs w:val="24"/>
            </w:rPr>
            <w:fldChar w:fldCharType="separate"/>
          </w:r>
          <w:r w:rsidRPr="00483195" w:rsidR="00483195">
            <w:rPr>
              <w:rFonts w:ascii="Times New Roman" w:hAnsi="Times New Roman" w:cs="Times New Roman"/>
              <w:noProof/>
              <w:sz w:val="24"/>
              <w:szCs w:val="24"/>
            </w:rPr>
            <w:t xml:space="preserve"> (Hall, 2012)</w:t>
          </w:r>
          <w:r w:rsidRPr="00483195" w:rsidR="00483195">
            <w:rPr>
              <w:rFonts w:ascii="Times New Roman" w:hAnsi="Times New Roman" w:cs="Times New Roman"/>
              <w:sz w:val="24"/>
              <w:szCs w:val="24"/>
            </w:rPr>
            <w:fldChar w:fldCharType="end"/>
          </w:r>
        </w:sdtContent>
      </w:sdt>
      <w:r w:rsidRPr="00483195">
        <w:rPr>
          <w:rFonts w:ascii="Times New Roman" w:hAnsi="Times New Roman" w:cs="Times New Roman"/>
          <w:sz w:val="24"/>
          <w:szCs w:val="24"/>
        </w:rPr>
        <w:t xml:space="preserve">. The provision states that a governmental entity is not liable in way, </w:t>
      </w:r>
      <w:r w:rsidRPr="00483195" w:rsidR="007402DE">
        <w:rPr>
          <w:rFonts w:ascii="Times New Roman" w:hAnsi="Times New Roman" w:cs="Times New Roman"/>
          <w:sz w:val="24"/>
          <w:szCs w:val="24"/>
        </w:rPr>
        <w:t xml:space="preserve">for the damages that are bound to result from the adoption, enforcement and or failure to adopt and enforce any personnel policy which is meant to protect a person’s safety and health unless a duty to provide care is owed to the injured person and has been described in a different policy which is totally independent </w:t>
      </w:r>
      <w:r w:rsidR="00483195">
        <w:rPr>
          <w:rFonts w:ascii="Times New Roman" w:hAnsi="Times New Roman" w:cs="Times New Roman"/>
          <w:noProof/>
          <w:sz w:val="24"/>
          <w:szCs w:val="24"/>
        </w:rPr>
        <w:t>of</w:t>
      </w:r>
      <w:r w:rsidRPr="00483195" w:rsidR="007402DE">
        <w:rPr>
          <w:rFonts w:ascii="Times New Roman" w:hAnsi="Times New Roman" w:cs="Times New Roman"/>
          <w:sz w:val="24"/>
          <w:szCs w:val="24"/>
        </w:rPr>
        <w:t xml:space="preserve"> the personal policy already mentioned. </w:t>
      </w:r>
    </w:p>
    <w:p w:rsidR="007402DE" w:rsidRPr="00483195" w:rsidP="00D5756C">
      <w:pPr>
        <w:spacing w:line="480" w:lineRule="auto"/>
        <w:ind w:firstLine="708"/>
        <w:rPr>
          <w:rFonts w:ascii="Times New Roman" w:hAnsi="Times New Roman" w:cs="Times New Roman"/>
          <w:sz w:val="24"/>
          <w:szCs w:val="24"/>
        </w:rPr>
      </w:pPr>
      <w:r w:rsidRPr="00483195">
        <w:rPr>
          <w:rFonts w:ascii="Times New Roman" w:hAnsi="Times New Roman" w:cs="Times New Roman"/>
          <w:sz w:val="24"/>
          <w:szCs w:val="24"/>
        </w:rPr>
        <w:t xml:space="preserve">In addition to this, the conditions that have to be followed to prove the liability of a government institution being involved in an alleged tort have to be satisfied as described in the KTCA regulations.  The challenger has to </w:t>
      </w:r>
      <w:r w:rsidRPr="00483195">
        <w:rPr>
          <w:rFonts w:ascii="Times New Roman" w:hAnsi="Times New Roman" w:cs="Times New Roman"/>
          <w:noProof/>
          <w:sz w:val="24"/>
          <w:szCs w:val="24"/>
        </w:rPr>
        <w:t>provide</w:t>
      </w:r>
      <w:r w:rsidRPr="00483195">
        <w:rPr>
          <w:rFonts w:ascii="Times New Roman" w:hAnsi="Times New Roman" w:cs="Times New Roman"/>
          <w:sz w:val="24"/>
          <w:szCs w:val="24"/>
        </w:rPr>
        <w:t xml:space="preserve"> </w:t>
      </w:r>
      <w:r w:rsidRPr="00483195">
        <w:rPr>
          <w:rFonts w:ascii="Times New Roman" w:hAnsi="Times New Roman" w:cs="Times New Roman"/>
          <w:noProof/>
          <w:sz w:val="24"/>
          <w:szCs w:val="24"/>
        </w:rPr>
        <w:t>evidence</w:t>
      </w:r>
      <w:r w:rsidRPr="00483195">
        <w:rPr>
          <w:rFonts w:ascii="Times New Roman" w:hAnsi="Times New Roman" w:cs="Times New Roman"/>
          <w:sz w:val="24"/>
          <w:szCs w:val="24"/>
        </w:rPr>
        <w:t xml:space="preserve"> and demonstrate involvements of the mentioned agency or officer in owing a particular d</w:t>
      </w:r>
      <w:r w:rsidRPr="00483195" w:rsidR="00C934B5">
        <w:rPr>
          <w:rFonts w:ascii="Times New Roman" w:hAnsi="Times New Roman" w:cs="Times New Roman"/>
          <w:sz w:val="24"/>
          <w:szCs w:val="24"/>
        </w:rPr>
        <w:t xml:space="preserve">uty to the plaintiff, and the duty was breached leading to the cause of an incident that inflicted injury and pain to </w:t>
      </w:r>
      <w:r w:rsidRPr="00483195" w:rsidR="00C934B5">
        <w:rPr>
          <w:rFonts w:ascii="Times New Roman" w:hAnsi="Times New Roman" w:cs="Times New Roman"/>
          <w:sz w:val="24"/>
          <w:szCs w:val="24"/>
        </w:rPr>
        <w:t xml:space="preserve">the plaintiff. Lastly, the KTCA requires the appellant to provide </w:t>
      </w:r>
      <w:r w:rsidRPr="00483195" w:rsidR="00C934B5">
        <w:rPr>
          <w:rFonts w:ascii="Times New Roman" w:hAnsi="Times New Roman" w:cs="Times New Roman"/>
          <w:noProof/>
          <w:sz w:val="24"/>
          <w:szCs w:val="24"/>
        </w:rPr>
        <w:t>evidence</w:t>
      </w:r>
      <w:r w:rsidRPr="00483195" w:rsidR="00C934B5">
        <w:rPr>
          <w:rFonts w:ascii="Times New Roman" w:hAnsi="Times New Roman" w:cs="Times New Roman"/>
          <w:sz w:val="24"/>
          <w:szCs w:val="24"/>
        </w:rPr>
        <w:t xml:space="preserve"> of the injuries caused by the alleged neglect.  Based on the fact that in this case, the police department owes its public a duty to serve and protect, the department, to a significant </w:t>
      </w:r>
      <w:r w:rsidRPr="00483195" w:rsidR="00C934B5">
        <w:rPr>
          <w:rFonts w:ascii="Times New Roman" w:hAnsi="Times New Roman" w:cs="Times New Roman"/>
          <w:noProof/>
          <w:sz w:val="24"/>
          <w:szCs w:val="24"/>
        </w:rPr>
        <w:t>exten</w:t>
      </w:r>
      <w:r w:rsidR="00483195">
        <w:rPr>
          <w:rFonts w:ascii="Times New Roman" w:hAnsi="Times New Roman" w:cs="Times New Roman"/>
          <w:noProof/>
          <w:sz w:val="24"/>
          <w:szCs w:val="24"/>
        </w:rPr>
        <w:t>t</w:t>
      </w:r>
      <w:r w:rsidRPr="00483195" w:rsidR="00C934B5">
        <w:rPr>
          <w:rFonts w:ascii="Times New Roman" w:hAnsi="Times New Roman" w:cs="Times New Roman"/>
          <w:sz w:val="24"/>
          <w:szCs w:val="24"/>
        </w:rPr>
        <w:t xml:space="preserve"> was expected to provide security to Kathryn. However, the protection in this context does not translate </w:t>
      </w:r>
      <w:r w:rsidR="00483195">
        <w:rPr>
          <w:rFonts w:ascii="Times New Roman" w:hAnsi="Times New Roman" w:cs="Times New Roman"/>
          <w:sz w:val="24"/>
          <w:szCs w:val="24"/>
        </w:rPr>
        <w:t>in</w:t>
      </w:r>
      <w:r w:rsidRPr="00483195" w:rsidR="00C934B5">
        <w:rPr>
          <w:rFonts w:ascii="Times New Roman" w:hAnsi="Times New Roman" w:cs="Times New Roman"/>
          <w:noProof/>
          <w:sz w:val="24"/>
          <w:szCs w:val="24"/>
        </w:rPr>
        <w:t>to</w:t>
      </w:r>
      <w:r w:rsidRPr="00483195" w:rsidR="00C934B5">
        <w:rPr>
          <w:rFonts w:ascii="Times New Roman" w:hAnsi="Times New Roman" w:cs="Times New Roman"/>
          <w:sz w:val="24"/>
          <w:szCs w:val="24"/>
        </w:rPr>
        <w:t xml:space="preserve"> engaging in practices that require the officers to work past their working hours. In addition to this, the scenarios leading to the death of Kathryn were allowed by the personal document obtained </w:t>
      </w:r>
      <w:r w:rsidRPr="00483195" w:rsidR="00C934B5">
        <w:rPr>
          <w:rFonts w:ascii="Times New Roman" w:hAnsi="Times New Roman" w:cs="Times New Roman"/>
          <w:noProof/>
          <w:sz w:val="24"/>
          <w:szCs w:val="24"/>
        </w:rPr>
        <w:t>f</w:t>
      </w:r>
      <w:r w:rsidR="00483195">
        <w:rPr>
          <w:rFonts w:ascii="Times New Roman" w:hAnsi="Times New Roman" w:cs="Times New Roman"/>
          <w:noProof/>
          <w:sz w:val="24"/>
          <w:szCs w:val="24"/>
        </w:rPr>
        <w:t>ro</w:t>
      </w:r>
      <w:r w:rsidRPr="00483195" w:rsidR="00C934B5">
        <w:rPr>
          <w:rFonts w:ascii="Times New Roman" w:hAnsi="Times New Roman" w:cs="Times New Roman"/>
          <w:noProof/>
          <w:sz w:val="24"/>
          <w:szCs w:val="24"/>
        </w:rPr>
        <w:t>m</w:t>
      </w:r>
      <w:r w:rsidRPr="00483195" w:rsidR="00C934B5">
        <w:rPr>
          <w:rFonts w:ascii="Times New Roman" w:hAnsi="Times New Roman" w:cs="Times New Roman"/>
          <w:sz w:val="24"/>
          <w:szCs w:val="24"/>
        </w:rPr>
        <w:t xml:space="preserve"> the police department. The PFA allowed Rolland to be in the house at the time of </w:t>
      </w:r>
      <w:r w:rsidR="00483195">
        <w:rPr>
          <w:rFonts w:ascii="Times New Roman" w:hAnsi="Times New Roman" w:cs="Times New Roman"/>
          <w:sz w:val="24"/>
          <w:szCs w:val="24"/>
        </w:rPr>
        <w:t xml:space="preserve">the </w:t>
      </w:r>
      <w:r w:rsidRPr="00483195" w:rsidR="00C934B5">
        <w:rPr>
          <w:rFonts w:ascii="Times New Roman" w:hAnsi="Times New Roman" w:cs="Times New Roman"/>
          <w:noProof/>
          <w:sz w:val="24"/>
          <w:szCs w:val="24"/>
        </w:rPr>
        <w:t>shooting</w:t>
      </w:r>
      <w:r w:rsidRPr="00483195" w:rsidR="00C934B5">
        <w:rPr>
          <w:rFonts w:ascii="Times New Roman" w:hAnsi="Times New Roman" w:cs="Times New Roman"/>
          <w:sz w:val="24"/>
          <w:szCs w:val="24"/>
        </w:rPr>
        <w:t>, therefore, as much as the police department might have owed Kathryn a duty to serve her, the department had no power to restrict Rolland from gaining access to the house hence there was no breach of duty.</w:t>
      </w:r>
    </w:p>
    <w:p w:rsidR="00C934B5" w:rsidRPr="00483195" w:rsidP="00D5756C">
      <w:pPr>
        <w:spacing w:line="480" w:lineRule="auto"/>
        <w:ind w:firstLine="708"/>
        <w:rPr>
          <w:rFonts w:ascii="Times New Roman" w:hAnsi="Times New Roman" w:cs="Times New Roman"/>
          <w:sz w:val="24"/>
          <w:szCs w:val="24"/>
        </w:rPr>
      </w:pPr>
      <w:r w:rsidRPr="00483195">
        <w:rPr>
          <w:rFonts w:ascii="Times New Roman" w:hAnsi="Times New Roman" w:cs="Times New Roman"/>
          <w:sz w:val="24"/>
          <w:szCs w:val="24"/>
        </w:rPr>
        <w:t xml:space="preserve">The previous day before Kathryn was murdered by Rolland, she had </w:t>
      </w:r>
      <w:r w:rsidRPr="00483195" w:rsidR="00930574">
        <w:rPr>
          <w:rFonts w:ascii="Times New Roman" w:hAnsi="Times New Roman" w:cs="Times New Roman"/>
          <w:sz w:val="24"/>
          <w:szCs w:val="24"/>
        </w:rPr>
        <w:t>requested for officers to be sent to her house</w:t>
      </w:r>
      <w:sdt>
        <w:sdtPr>
          <w:rPr>
            <w:rFonts w:ascii="Times New Roman" w:hAnsi="Times New Roman" w:cs="Times New Roman"/>
            <w:sz w:val="24"/>
            <w:szCs w:val="24"/>
          </w:rPr>
          <w:id w:val="-591388891"/>
          <w:citation/>
        </w:sdtPr>
        <w:sdtContent>
          <w:r w:rsidRPr="00483195" w:rsidR="00483195">
            <w:rPr>
              <w:rFonts w:ascii="Times New Roman" w:hAnsi="Times New Roman" w:cs="Times New Roman"/>
              <w:sz w:val="24"/>
              <w:szCs w:val="24"/>
            </w:rPr>
            <w:fldChar w:fldCharType="begin"/>
          </w:r>
          <w:r w:rsidRPr="00483195" w:rsidR="00483195">
            <w:rPr>
              <w:rFonts w:ascii="Times New Roman" w:hAnsi="Times New Roman" w:cs="Times New Roman"/>
              <w:sz w:val="24"/>
              <w:szCs w:val="24"/>
            </w:rPr>
            <w:instrText xml:space="preserve"> CITATION Kir00 \l 1033 </w:instrText>
          </w:r>
          <w:r w:rsidRPr="00483195" w:rsidR="00483195">
            <w:rPr>
              <w:rFonts w:ascii="Times New Roman" w:hAnsi="Times New Roman" w:cs="Times New Roman"/>
              <w:sz w:val="24"/>
              <w:szCs w:val="24"/>
            </w:rPr>
            <w:fldChar w:fldCharType="separate"/>
          </w:r>
          <w:r w:rsidRPr="00483195" w:rsidR="00483195">
            <w:rPr>
              <w:rFonts w:ascii="Times New Roman" w:hAnsi="Times New Roman" w:cs="Times New Roman"/>
              <w:noProof/>
              <w:sz w:val="24"/>
              <w:szCs w:val="24"/>
            </w:rPr>
            <w:t xml:space="preserve"> (Kansas Opinions, 2000)</w:t>
          </w:r>
          <w:r w:rsidRPr="00483195" w:rsidR="00483195">
            <w:rPr>
              <w:rFonts w:ascii="Times New Roman" w:hAnsi="Times New Roman" w:cs="Times New Roman"/>
              <w:sz w:val="24"/>
              <w:szCs w:val="24"/>
            </w:rPr>
            <w:fldChar w:fldCharType="end"/>
          </w:r>
        </w:sdtContent>
      </w:sdt>
      <w:r w:rsidRPr="00483195" w:rsidR="00930574">
        <w:rPr>
          <w:rFonts w:ascii="Times New Roman" w:hAnsi="Times New Roman" w:cs="Times New Roman"/>
          <w:sz w:val="24"/>
          <w:szCs w:val="24"/>
        </w:rPr>
        <w:t xml:space="preserve">. Given the working time requirement and policies of the department, Sergeant Rob Moser assured Her that two officers will be sent to the premise </w:t>
      </w:r>
      <w:r w:rsidR="00483195">
        <w:rPr>
          <w:rFonts w:ascii="Times New Roman" w:hAnsi="Times New Roman" w:cs="Times New Roman"/>
          <w:sz w:val="24"/>
          <w:szCs w:val="24"/>
        </w:rPr>
        <w:t xml:space="preserve">a </w:t>
      </w:r>
      <w:r w:rsidRPr="00483195" w:rsidR="00930574">
        <w:rPr>
          <w:rFonts w:ascii="Times New Roman" w:hAnsi="Times New Roman" w:cs="Times New Roman"/>
          <w:noProof/>
          <w:sz w:val="24"/>
          <w:szCs w:val="24"/>
        </w:rPr>
        <w:t>few</w:t>
      </w:r>
      <w:r w:rsidRPr="00483195" w:rsidR="00930574">
        <w:rPr>
          <w:rFonts w:ascii="Times New Roman" w:hAnsi="Times New Roman" w:cs="Times New Roman"/>
          <w:sz w:val="24"/>
          <w:szCs w:val="24"/>
        </w:rPr>
        <w:t xml:space="preserve"> minutes before and after the arrival of Rolland. This assurance was subject to the availability of the mentioned officers.</w:t>
      </w:r>
      <w:r w:rsidRPr="00483195" w:rsidR="00647B75">
        <w:rPr>
          <w:rFonts w:ascii="Times New Roman" w:hAnsi="Times New Roman" w:cs="Times New Roman"/>
          <w:sz w:val="24"/>
          <w:szCs w:val="24"/>
        </w:rPr>
        <w:t xml:space="preserve"> Although Kathryn also made this request twice this day, there were no signs of Rolland being around the premise during the requests. As a matter of fact, the shooting occurred the next day, a day that Kathryn had not requested for officers to be sent to her home. If at the time the incidence occurred officers had be</w:t>
      </w:r>
      <w:r w:rsidRPr="00483195" w:rsidR="00BC77D2">
        <w:rPr>
          <w:rFonts w:ascii="Times New Roman" w:hAnsi="Times New Roman" w:cs="Times New Roman"/>
          <w:sz w:val="24"/>
          <w:szCs w:val="24"/>
        </w:rPr>
        <w:t>en</w:t>
      </w:r>
      <w:r w:rsidRPr="00483195" w:rsidR="00647B75">
        <w:rPr>
          <w:rFonts w:ascii="Times New Roman" w:hAnsi="Times New Roman" w:cs="Times New Roman"/>
          <w:sz w:val="24"/>
          <w:szCs w:val="24"/>
        </w:rPr>
        <w:t xml:space="preserve"> requested </w:t>
      </w:r>
      <w:r w:rsidRPr="00483195" w:rsidR="00BC77D2">
        <w:rPr>
          <w:rFonts w:ascii="Times New Roman" w:hAnsi="Times New Roman" w:cs="Times New Roman"/>
          <w:sz w:val="24"/>
          <w:szCs w:val="24"/>
        </w:rPr>
        <w:t>but</w:t>
      </w:r>
      <w:r w:rsidRPr="00483195" w:rsidR="00647B75">
        <w:rPr>
          <w:rFonts w:ascii="Times New Roman" w:hAnsi="Times New Roman" w:cs="Times New Roman"/>
          <w:sz w:val="24"/>
          <w:szCs w:val="24"/>
        </w:rPr>
        <w:t xml:space="preserve"> failed to be dispatched, then the city’s police department would have breached the duty owed to its citizen Kathryn.</w:t>
      </w:r>
    </w:p>
    <w:p w:rsidR="007402DE" w:rsidRPr="00483195" w:rsidP="00D5756C">
      <w:pPr>
        <w:spacing w:line="480" w:lineRule="auto"/>
        <w:rPr>
          <w:rFonts w:ascii="Times New Roman" w:hAnsi="Times New Roman" w:cs="Times New Roman"/>
          <w:sz w:val="24"/>
          <w:szCs w:val="24"/>
        </w:rPr>
      </w:pPr>
      <w:r w:rsidRPr="00483195">
        <w:rPr>
          <w:rFonts w:ascii="Times New Roman" w:hAnsi="Times New Roman" w:cs="Times New Roman"/>
          <w:b/>
          <w:sz w:val="24"/>
          <w:szCs w:val="24"/>
        </w:rPr>
        <w:t xml:space="preserve">Courts’ Decision: </w:t>
      </w:r>
      <w:r w:rsidRPr="00483195">
        <w:rPr>
          <w:rFonts w:ascii="Times New Roman" w:hAnsi="Times New Roman" w:cs="Times New Roman"/>
          <w:sz w:val="24"/>
          <w:szCs w:val="24"/>
        </w:rPr>
        <w:t xml:space="preserve">The court ruled that </w:t>
      </w:r>
      <w:r w:rsidRPr="00483195" w:rsidR="00D65925">
        <w:rPr>
          <w:rFonts w:ascii="Times New Roman" w:hAnsi="Times New Roman" w:cs="Times New Roman"/>
          <w:sz w:val="24"/>
          <w:szCs w:val="24"/>
        </w:rPr>
        <w:t>the City, through its police department, owed no individualized duty to Kathryn. And through that, the city was immune from liability of her death.</w:t>
      </w:r>
    </w:p>
    <w:p w:rsidR="00D65925" w:rsidRPr="00483195" w:rsidP="00D5756C">
      <w:pPr>
        <w:spacing w:line="480" w:lineRule="auto"/>
        <w:rPr>
          <w:rFonts w:ascii="Times New Roman" w:hAnsi="Times New Roman" w:cs="Times New Roman"/>
          <w:sz w:val="24"/>
          <w:szCs w:val="24"/>
        </w:rPr>
      </w:pPr>
      <w:r w:rsidRPr="00483195">
        <w:rPr>
          <w:rFonts w:ascii="Times New Roman" w:hAnsi="Times New Roman" w:cs="Times New Roman"/>
          <w:sz w:val="24"/>
          <w:szCs w:val="24"/>
        </w:rPr>
        <w:tab/>
        <w:t xml:space="preserve">This decision was based on the KTCA discretionary policy. This was a result of </w:t>
      </w:r>
      <w:r w:rsidR="00483195">
        <w:rPr>
          <w:rFonts w:ascii="Times New Roman" w:hAnsi="Times New Roman" w:cs="Times New Roman"/>
          <w:sz w:val="24"/>
          <w:szCs w:val="24"/>
        </w:rPr>
        <w:t xml:space="preserve">the </w:t>
      </w:r>
      <w:r w:rsidRPr="00483195">
        <w:rPr>
          <w:rFonts w:ascii="Times New Roman" w:hAnsi="Times New Roman" w:cs="Times New Roman"/>
          <w:noProof/>
          <w:sz w:val="24"/>
          <w:szCs w:val="24"/>
        </w:rPr>
        <w:t>failure</w:t>
      </w:r>
      <w:r w:rsidRPr="00483195">
        <w:rPr>
          <w:rFonts w:ascii="Times New Roman" w:hAnsi="Times New Roman" w:cs="Times New Roman"/>
          <w:sz w:val="24"/>
          <w:szCs w:val="24"/>
        </w:rPr>
        <w:t xml:space="preserve"> of the appellant to satisfy the conditions stated under the </w:t>
      </w:r>
      <w:r w:rsidRPr="00483195">
        <w:rPr>
          <w:rFonts w:ascii="Times New Roman" w:hAnsi="Times New Roman" w:cs="Times New Roman"/>
          <w:noProof/>
          <w:sz w:val="24"/>
          <w:szCs w:val="24"/>
        </w:rPr>
        <w:t>above</w:t>
      </w:r>
      <w:r w:rsidR="00483195">
        <w:rPr>
          <w:rFonts w:ascii="Times New Roman" w:hAnsi="Times New Roman" w:cs="Times New Roman"/>
          <w:noProof/>
          <w:sz w:val="24"/>
          <w:szCs w:val="24"/>
        </w:rPr>
        <w:t>-</w:t>
      </w:r>
      <w:r w:rsidRPr="00483195">
        <w:rPr>
          <w:rFonts w:ascii="Times New Roman" w:hAnsi="Times New Roman" w:cs="Times New Roman"/>
          <w:noProof/>
          <w:sz w:val="24"/>
          <w:szCs w:val="24"/>
        </w:rPr>
        <w:t>mentioned</w:t>
      </w:r>
      <w:r w:rsidRPr="00483195">
        <w:rPr>
          <w:rFonts w:ascii="Times New Roman" w:hAnsi="Times New Roman" w:cs="Times New Roman"/>
          <w:sz w:val="24"/>
          <w:szCs w:val="24"/>
        </w:rPr>
        <w:t xml:space="preserve"> act. Based on the situations that a special duty can be said to have been owned to a plaintiff, the scenarios leading to the incident that led to the challenge did not fall in any of them. These s</w:t>
      </w:r>
      <w:r w:rsidRPr="00483195" w:rsidR="00F73FE3">
        <w:rPr>
          <w:rFonts w:ascii="Times New Roman" w:hAnsi="Times New Roman" w:cs="Times New Roman"/>
          <w:sz w:val="24"/>
          <w:szCs w:val="24"/>
        </w:rPr>
        <w:t>ituations include; where a special relationship existed between the government agency and the wrongdoers, and one where a special relationship existed between the government and the injured.</w:t>
      </w:r>
    </w:p>
    <w:p w:rsidR="00F73FE3" w:rsidRPr="00483195" w:rsidP="00D5756C">
      <w:pPr>
        <w:spacing w:line="480" w:lineRule="auto"/>
        <w:rPr>
          <w:rFonts w:ascii="Times New Roman" w:hAnsi="Times New Roman" w:cs="Times New Roman"/>
          <w:b/>
          <w:sz w:val="24"/>
          <w:szCs w:val="24"/>
        </w:rPr>
      </w:pPr>
      <w:r w:rsidRPr="00483195">
        <w:rPr>
          <w:rFonts w:ascii="Times New Roman" w:hAnsi="Times New Roman" w:cs="Times New Roman"/>
          <w:b/>
          <w:sz w:val="24"/>
          <w:szCs w:val="24"/>
        </w:rPr>
        <w:t>Reflection</w:t>
      </w:r>
    </w:p>
    <w:p w:rsidR="00D65925" w:rsidRPr="00483195" w:rsidP="00D5756C">
      <w:pPr>
        <w:spacing w:line="480" w:lineRule="auto"/>
        <w:rPr>
          <w:rFonts w:ascii="Times New Roman" w:hAnsi="Times New Roman" w:cs="Times New Roman"/>
          <w:sz w:val="24"/>
          <w:szCs w:val="24"/>
        </w:rPr>
      </w:pPr>
      <w:r w:rsidRPr="00483195">
        <w:rPr>
          <w:rFonts w:ascii="Times New Roman" w:hAnsi="Times New Roman" w:cs="Times New Roman"/>
          <w:sz w:val="24"/>
          <w:szCs w:val="24"/>
        </w:rPr>
        <w:t>In this selected case, the court unanimously established that the City did not owe any particular individualized duty to Kathryn based on the facts provided for the case. This was as a result of the obtained PFA lacking directions that possibly tied the City to the specific obligations that the appellant sought to impose on the defendant. In addition to this, failure to provide evidence that the police department promised constant protection to Kathryn led to this particular ruling.</w:t>
      </w:r>
    </w:p>
    <w:p w:rsidR="00F73FE3" w:rsidP="00D5756C">
      <w:pPr>
        <w:spacing w:line="480" w:lineRule="auto"/>
        <w:rPr>
          <w:rFonts w:ascii="Times New Roman" w:hAnsi="Times New Roman" w:cs="Times New Roman"/>
          <w:sz w:val="24"/>
          <w:szCs w:val="24"/>
        </w:rPr>
      </w:pPr>
      <w:r w:rsidRPr="00483195">
        <w:rPr>
          <w:rFonts w:ascii="Times New Roman" w:hAnsi="Times New Roman" w:cs="Times New Roman"/>
          <w:sz w:val="24"/>
          <w:szCs w:val="24"/>
        </w:rPr>
        <w:tab/>
        <w:t>As a public administrator in the police department, this particular ruling would impact the way in which administration and service delivery activities are conducted. Given the fact the ruling relied majorly on the specific descriptions contained in the PFA, the police department w</w:t>
      </w:r>
      <w:r w:rsidRPr="00483195" w:rsidR="00483195">
        <w:rPr>
          <w:rFonts w:ascii="Times New Roman" w:hAnsi="Times New Roman" w:cs="Times New Roman"/>
          <w:sz w:val="24"/>
          <w:szCs w:val="24"/>
        </w:rPr>
        <w:t>ill need to ensure that all the requirements of any legal document generated from the department is clear and does not in any way implicate the quality of service to be provided to the citizens.</w:t>
      </w:r>
    </w:p>
    <w:p w:rsidR="00D5756C" w:rsidRPr="00483195" w:rsidP="00D5756C">
      <w:pPr>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285781965"/>
        <w:docPartObj>
          <w:docPartGallery w:val="Bibliographies"/>
          <w:docPartUnique/>
        </w:docPartObj>
      </w:sdtPr>
      <w:sdtEndPr>
        <w:rPr>
          <w:rFonts w:eastAsiaTheme="minorHAnsi"/>
        </w:rPr>
      </w:sdtEndPr>
      <w:sdtContent>
        <w:p w:rsidR="00483195" w:rsidRPr="00483195" w:rsidP="00D5756C">
          <w:pPr>
            <w:pStyle w:val="Heading1"/>
            <w:spacing w:line="480" w:lineRule="auto"/>
            <w:rPr>
              <w:rFonts w:ascii="Times New Roman" w:hAnsi="Times New Roman" w:cs="Times New Roman"/>
              <w:color w:val="auto"/>
              <w:sz w:val="24"/>
              <w:szCs w:val="24"/>
            </w:rPr>
          </w:pPr>
          <w:r w:rsidRPr="0048319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483195" w:rsidRPr="00483195" w:rsidP="00D5756C">
              <w:pPr>
                <w:pStyle w:val="Bibliography"/>
                <w:spacing w:line="480" w:lineRule="auto"/>
                <w:ind w:left="720" w:hanging="720"/>
                <w:rPr>
                  <w:rFonts w:ascii="Times New Roman" w:hAnsi="Times New Roman" w:cs="Times New Roman"/>
                  <w:noProof/>
                  <w:sz w:val="24"/>
                  <w:szCs w:val="24"/>
                </w:rPr>
              </w:pPr>
              <w:r w:rsidRPr="00483195">
                <w:rPr>
                  <w:rFonts w:ascii="Times New Roman" w:hAnsi="Times New Roman" w:cs="Times New Roman"/>
                  <w:sz w:val="24"/>
                  <w:szCs w:val="24"/>
                </w:rPr>
                <w:fldChar w:fldCharType="begin"/>
              </w:r>
              <w:r w:rsidRPr="00483195">
                <w:rPr>
                  <w:rFonts w:ascii="Times New Roman" w:hAnsi="Times New Roman" w:cs="Times New Roman"/>
                  <w:sz w:val="24"/>
                  <w:szCs w:val="24"/>
                </w:rPr>
                <w:instrText xml:space="preserve"> BIBLIOGRAPHY </w:instrText>
              </w:r>
              <w:r w:rsidRPr="00483195">
                <w:rPr>
                  <w:rFonts w:ascii="Times New Roman" w:hAnsi="Times New Roman" w:cs="Times New Roman"/>
                  <w:sz w:val="24"/>
                  <w:szCs w:val="24"/>
                </w:rPr>
                <w:fldChar w:fldCharType="separate"/>
              </w:r>
              <w:r w:rsidRPr="00483195">
                <w:rPr>
                  <w:rFonts w:ascii="Times New Roman" w:hAnsi="Times New Roman" w:cs="Times New Roman"/>
                  <w:noProof/>
                  <w:sz w:val="24"/>
                  <w:szCs w:val="24"/>
                </w:rPr>
                <w:t xml:space="preserve">Hall, D. E. (2012). Chapter 11: Accountability through Liability. In D. E. Hall, </w:t>
              </w:r>
              <w:r w:rsidRPr="00483195">
                <w:rPr>
                  <w:rFonts w:ascii="Times New Roman" w:hAnsi="Times New Roman" w:cs="Times New Roman"/>
                  <w:i/>
                  <w:iCs/>
                  <w:noProof/>
                  <w:sz w:val="24"/>
                  <w:szCs w:val="24"/>
                </w:rPr>
                <w:t>Administrative Law: Bureaucracy in a Democracy</w:t>
              </w:r>
              <w:r w:rsidRPr="00483195">
                <w:rPr>
                  <w:rFonts w:ascii="Times New Roman" w:hAnsi="Times New Roman" w:cs="Times New Roman"/>
                  <w:noProof/>
                  <w:sz w:val="24"/>
                  <w:szCs w:val="24"/>
                </w:rPr>
                <w:t xml:space="preserve"> (pp. 121-136). London: Pearson/Prentice Hall.</w:t>
              </w:r>
            </w:p>
            <w:p w:rsidR="00483195" w:rsidRPr="00483195" w:rsidP="00D5756C">
              <w:pPr>
                <w:pStyle w:val="Bibliography"/>
                <w:spacing w:line="480" w:lineRule="auto"/>
                <w:ind w:left="720" w:hanging="720"/>
                <w:rPr>
                  <w:rFonts w:ascii="Times New Roman" w:hAnsi="Times New Roman" w:cs="Times New Roman"/>
                  <w:noProof/>
                  <w:sz w:val="24"/>
                  <w:szCs w:val="24"/>
                </w:rPr>
              </w:pPr>
              <w:r w:rsidRPr="00483195">
                <w:rPr>
                  <w:rFonts w:ascii="Times New Roman" w:hAnsi="Times New Roman" w:cs="Times New Roman"/>
                  <w:noProof/>
                  <w:sz w:val="24"/>
                  <w:szCs w:val="24"/>
                </w:rPr>
                <w:t xml:space="preserve">Kansas Opinions. (2000, August 11). </w:t>
              </w:r>
              <w:r w:rsidRPr="00483195">
                <w:rPr>
                  <w:rFonts w:ascii="Times New Roman" w:hAnsi="Times New Roman" w:cs="Times New Roman"/>
                  <w:i/>
                  <w:iCs/>
                  <w:noProof/>
                  <w:sz w:val="24"/>
                  <w:szCs w:val="24"/>
                </w:rPr>
                <w:t>Kirk v. City of Shawnee, Kansas Case No. 84489</w:t>
              </w:r>
              <w:r w:rsidRPr="00483195">
                <w:rPr>
                  <w:rFonts w:ascii="Times New Roman" w:hAnsi="Times New Roman" w:cs="Times New Roman"/>
                  <w:noProof/>
                  <w:sz w:val="24"/>
                  <w:szCs w:val="24"/>
                </w:rPr>
                <w:t>. Retrieved from Kansas Courts Opinions: http://www.kscourts.org/cases-and-opinions/opinions/ctapp/2000/20000811/84489.htm</w:t>
              </w:r>
            </w:p>
            <w:p w:rsidR="00483195" w:rsidRPr="00483195" w:rsidP="00D5756C">
              <w:pPr>
                <w:pStyle w:val="Bibliography"/>
                <w:spacing w:line="480" w:lineRule="auto"/>
                <w:ind w:left="720" w:hanging="720"/>
                <w:rPr>
                  <w:rFonts w:ascii="Times New Roman" w:hAnsi="Times New Roman" w:cs="Times New Roman"/>
                  <w:noProof/>
                  <w:sz w:val="24"/>
                  <w:szCs w:val="24"/>
                </w:rPr>
              </w:pPr>
              <w:r w:rsidRPr="00483195">
                <w:rPr>
                  <w:rFonts w:ascii="Times New Roman" w:hAnsi="Times New Roman" w:cs="Times New Roman"/>
                  <w:noProof/>
                  <w:sz w:val="24"/>
                  <w:szCs w:val="24"/>
                </w:rPr>
                <w:t>KIRK v. CITY OF SHAWNEE, 84489 (Cour of Appeals of Kansas August 11, 2000).</w:t>
              </w:r>
            </w:p>
            <w:p w:rsidR="00483195" w:rsidRPr="00483195" w:rsidP="00D5756C">
              <w:pPr>
                <w:spacing w:line="480" w:lineRule="auto"/>
                <w:rPr>
                  <w:rFonts w:ascii="Times New Roman" w:hAnsi="Times New Roman" w:cs="Times New Roman"/>
                  <w:sz w:val="24"/>
                  <w:szCs w:val="24"/>
                </w:rPr>
              </w:pPr>
              <w:r w:rsidRPr="00483195">
                <w:rPr>
                  <w:rFonts w:ascii="Times New Roman" w:hAnsi="Times New Roman" w:cs="Times New Roman"/>
                  <w:b/>
                  <w:bCs/>
                  <w:noProof/>
                  <w:sz w:val="24"/>
                  <w:szCs w:val="24"/>
                </w:rPr>
                <w:fldChar w:fldCharType="end"/>
              </w:r>
            </w:p>
          </w:sdtContent>
        </w:sdt>
      </w:sdtContent>
    </w:sdt>
    <w:p w:rsidR="00483195" w:rsidRPr="00483195" w:rsidP="00D5756C">
      <w:pPr>
        <w:spacing w:line="480" w:lineRule="auto"/>
        <w:rPr>
          <w:rFonts w:ascii="Times New Roman" w:hAnsi="Times New Roman" w:cs="Times New Roman"/>
          <w:sz w:val="24"/>
          <w:szCs w:val="24"/>
        </w:rPr>
      </w:pPr>
    </w:p>
    <w:p w:rsidR="00483195" w:rsidRPr="00483195" w:rsidP="00D5756C">
      <w:pPr>
        <w:spacing w:line="480" w:lineRule="auto"/>
        <w:rPr>
          <w:rFonts w:ascii="Times New Roman" w:hAnsi="Times New Roman" w:cs="Times New Roman"/>
          <w:sz w:val="24"/>
          <w:szCs w:val="24"/>
        </w:rPr>
      </w:pPr>
    </w:p>
    <w:p w:rsidR="00BC77D2" w:rsidRPr="00483195" w:rsidP="00D5756C">
      <w:pPr>
        <w:spacing w:line="480" w:lineRule="auto"/>
        <w:rPr>
          <w:rFonts w:ascii="Times New Roman" w:hAnsi="Times New Roman" w:cs="Times New Roman"/>
          <w:b/>
          <w:sz w:val="24"/>
          <w:szCs w:val="24"/>
        </w:rPr>
      </w:pPr>
    </w:p>
    <w:p w:rsidR="00714D0A" w:rsidRPr="00483195" w:rsidP="00D5756C">
      <w:pPr>
        <w:spacing w:line="480" w:lineRule="auto"/>
        <w:rPr>
          <w:rFonts w:ascii="Times New Roman" w:hAnsi="Times New Roman" w:cs="Times New Roman"/>
          <w:sz w:val="24"/>
          <w:szCs w:val="24"/>
        </w:rPr>
      </w:pPr>
    </w:p>
    <w:p w:rsidR="00714D0A" w:rsidRPr="00483195" w:rsidP="00D5756C">
      <w:pPr>
        <w:spacing w:line="480" w:lineRule="auto"/>
        <w:rPr>
          <w:rFonts w:ascii="Times New Roman" w:hAnsi="Times New Roman" w:cs="Times New Roman"/>
          <w:sz w:val="24"/>
          <w:szCs w:val="24"/>
        </w:rPr>
      </w:pPr>
    </w:p>
    <w:sectPr w:rsidSect="00AD7FC2">
      <w:headerReference w:type="default" r:id="rId5"/>
      <w:headerReference w:type="first" r:id="rId6"/>
      <w:pgSz w:w="11906" w:h="16838"/>
      <w:pgMar w:top="1440" w:right="1440" w:bottom="1440"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80742585"/>
      <w:docPartObj>
        <w:docPartGallery w:val="Page Numbers (Top of Page)"/>
        <w:docPartUnique/>
      </w:docPartObj>
    </w:sdtPr>
    <w:sdtEndPr>
      <w:rPr>
        <w:noProof/>
      </w:rPr>
    </w:sdtEndPr>
    <w:sdtContent>
      <w:p w:rsidR="00952A2D">
        <w:pPr>
          <w:pStyle w:val="Header"/>
          <w:jc w:val="right"/>
        </w:pPr>
        <w:r>
          <w:fldChar w:fldCharType="begin"/>
        </w:r>
        <w:r>
          <w:instrText xml:space="preserve"> PAGE   \* MERGEFORMAT </w:instrText>
        </w:r>
        <w:r>
          <w:fldChar w:fldCharType="separate"/>
        </w:r>
        <w:r w:rsidR="00AE4F40">
          <w:rPr>
            <w:noProof/>
          </w:rPr>
          <w:t>6</w:t>
        </w:r>
        <w:r>
          <w:rPr>
            <w:noProof/>
          </w:rPr>
          <w:fldChar w:fldCharType="end"/>
        </w:r>
      </w:p>
    </w:sdtContent>
  </w:sdt>
  <w:p w:rsidR="000D18AB" w:rsidRPr="005A5372" w:rsidP="005A5372">
    <w:pPr>
      <w:pStyle w:val="Header"/>
      <w:rPr>
        <w:rFonts w:ascii="Times New Roman" w:hAnsi="Times New Roman" w:cs="Times New Roman"/>
        <w:sz w:val="24"/>
        <w:szCs w:val="24"/>
      </w:rPr>
    </w:pPr>
    <w:r>
      <w:rPr>
        <w:rFonts w:ascii="Times New Roman" w:hAnsi="Times New Roman" w:cs="Times New Roman"/>
        <w:color w:val="202124"/>
        <w:sz w:val="24"/>
        <w:szCs w:val="24"/>
        <w:shd w:val="clear" w:color="auto" w:fill="FFFFFF"/>
      </w:rPr>
      <w:t>KIRK V. CITY OF SHAWNEE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A2D" w:rsidRPr="009C7E93">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714D0A">
      <w:rPr>
        <w:rFonts w:ascii="Times New Roman" w:hAnsi="Times New Roman" w:cs="Times New Roman"/>
        <w:sz w:val="24"/>
        <w:szCs w:val="24"/>
      </w:rPr>
      <w:t>FEDERAL TORT CLAIMS CASE</w:t>
    </w:r>
    <w:r w:rsidR="00714D0A">
      <w:rPr>
        <w:rFonts w:ascii="Times New Roman" w:hAnsi="Times New Roman" w:cs="Times New Roman"/>
        <w:sz w:val="24"/>
        <w:szCs w:val="24"/>
      </w:rPr>
      <w:tab/>
      <w:t xml:space="preserve">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FC6996"/>
    <w:multiLevelType w:val="hybridMultilevel"/>
    <w:tmpl w:val="E2C05BE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AA30BF1"/>
    <w:multiLevelType w:val="hybridMultilevel"/>
    <w:tmpl w:val="82B0337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09F1A59"/>
    <w:multiLevelType w:val="hybridMultilevel"/>
    <w:tmpl w:val="033EB498"/>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1E21114"/>
    <w:multiLevelType w:val="hybridMultilevel"/>
    <w:tmpl w:val="D782222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7201EBD"/>
    <w:multiLevelType w:val="hybridMultilevel"/>
    <w:tmpl w:val="E4901E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72002D2"/>
    <w:multiLevelType w:val="hybridMultilevel"/>
    <w:tmpl w:val="CEF29C1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98E1831"/>
    <w:multiLevelType w:val="hybridMultilevel"/>
    <w:tmpl w:val="CB30A5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42E741B"/>
    <w:multiLevelType w:val="hybridMultilevel"/>
    <w:tmpl w:val="B23C39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776"/>
    <w:rsid w:val="0000159C"/>
    <w:rsid w:val="00001D17"/>
    <w:rsid w:val="00002797"/>
    <w:rsid w:val="00006D02"/>
    <w:rsid w:val="0000711E"/>
    <w:rsid w:val="0001448D"/>
    <w:rsid w:val="00015957"/>
    <w:rsid w:val="00035981"/>
    <w:rsid w:val="000365C0"/>
    <w:rsid w:val="000459EE"/>
    <w:rsid w:val="00050CA7"/>
    <w:rsid w:val="0005630C"/>
    <w:rsid w:val="000569AD"/>
    <w:rsid w:val="00056EA8"/>
    <w:rsid w:val="0006194B"/>
    <w:rsid w:val="0006405B"/>
    <w:rsid w:val="00064906"/>
    <w:rsid w:val="000659A3"/>
    <w:rsid w:val="00072C06"/>
    <w:rsid w:val="000748FF"/>
    <w:rsid w:val="00076C78"/>
    <w:rsid w:val="000825ED"/>
    <w:rsid w:val="00084C97"/>
    <w:rsid w:val="000929BD"/>
    <w:rsid w:val="0009746B"/>
    <w:rsid w:val="000A0299"/>
    <w:rsid w:val="000A1732"/>
    <w:rsid w:val="000A56ED"/>
    <w:rsid w:val="000A5B02"/>
    <w:rsid w:val="000B77C6"/>
    <w:rsid w:val="000B7E32"/>
    <w:rsid w:val="000C2132"/>
    <w:rsid w:val="000D18AB"/>
    <w:rsid w:val="000D7E95"/>
    <w:rsid w:val="000E4453"/>
    <w:rsid w:val="000E573A"/>
    <w:rsid w:val="000F79D1"/>
    <w:rsid w:val="00121259"/>
    <w:rsid w:val="0012158D"/>
    <w:rsid w:val="001260B3"/>
    <w:rsid w:val="00131295"/>
    <w:rsid w:val="00132721"/>
    <w:rsid w:val="00132776"/>
    <w:rsid w:val="00133346"/>
    <w:rsid w:val="00145961"/>
    <w:rsid w:val="00146EE3"/>
    <w:rsid w:val="00147425"/>
    <w:rsid w:val="00150AC4"/>
    <w:rsid w:val="00152976"/>
    <w:rsid w:val="00160C33"/>
    <w:rsid w:val="00163EBF"/>
    <w:rsid w:val="00166B5A"/>
    <w:rsid w:val="00176CC6"/>
    <w:rsid w:val="00182BE6"/>
    <w:rsid w:val="00183613"/>
    <w:rsid w:val="00183BEA"/>
    <w:rsid w:val="001978D7"/>
    <w:rsid w:val="001A436D"/>
    <w:rsid w:val="001A6449"/>
    <w:rsid w:val="001A6E1C"/>
    <w:rsid w:val="001B6751"/>
    <w:rsid w:val="001C1909"/>
    <w:rsid w:val="001C713C"/>
    <w:rsid w:val="001D3C4C"/>
    <w:rsid w:val="001D6DF3"/>
    <w:rsid w:val="001F43C2"/>
    <w:rsid w:val="002179FB"/>
    <w:rsid w:val="0023474E"/>
    <w:rsid w:val="00240A0F"/>
    <w:rsid w:val="00240A7B"/>
    <w:rsid w:val="00243F68"/>
    <w:rsid w:val="00260351"/>
    <w:rsid w:val="00265D54"/>
    <w:rsid w:val="00280B9D"/>
    <w:rsid w:val="00280DAA"/>
    <w:rsid w:val="0028637A"/>
    <w:rsid w:val="00286C20"/>
    <w:rsid w:val="00297C50"/>
    <w:rsid w:val="002A09F4"/>
    <w:rsid w:val="002A1307"/>
    <w:rsid w:val="002B1A3F"/>
    <w:rsid w:val="002B46D4"/>
    <w:rsid w:val="002B50CD"/>
    <w:rsid w:val="002C56C7"/>
    <w:rsid w:val="002C715F"/>
    <w:rsid w:val="002D3035"/>
    <w:rsid w:val="002D321A"/>
    <w:rsid w:val="002E0CB2"/>
    <w:rsid w:val="002F0467"/>
    <w:rsid w:val="002F4D8A"/>
    <w:rsid w:val="002F70C7"/>
    <w:rsid w:val="003024AA"/>
    <w:rsid w:val="003073A0"/>
    <w:rsid w:val="00310EF3"/>
    <w:rsid w:val="00311813"/>
    <w:rsid w:val="003157CA"/>
    <w:rsid w:val="003275AD"/>
    <w:rsid w:val="00331DFA"/>
    <w:rsid w:val="00336C0C"/>
    <w:rsid w:val="00337935"/>
    <w:rsid w:val="0034428C"/>
    <w:rsid w:val="00344E35"/>
    <w:rsid w:val="00350B5D"/>
    <w:rsid w:val="00354222"/>
    <w:rsid w:val="003632E6"/>
    <w:rsid w:val="00363B29"/>
    <w:rsid w:val="00366601"/>
    <w:rsid w:val="00376FCA"/>
    <w:rsid w:val="0038201C"/>
    <w:rsid w:val="003947AF"/>
    <w:rsid w:val="00394E96"/>
    <w:rsid w:val="003B21BD"/>
    <w:rsid w:val="003B2535"/>
    <w:rsid w:val="003B2FB5"/>
    <w:rsid w:val="003B43E4"/>
    <w:rsid w:val="003B69E0"/>
    <w:rsid w:val="003B7A93"/>
    <w:rsid w:val="003C33EF"/>
    <w:rsid w:val="003C743C"/>
    <w:rsid w:val="003D43B1"/>
    <w:rsid w:val="003F0085"/>
    <w:rsid w:val="003F4A25"/>
    <w:rsid w:val="003F53DF"/>
    <w:rsid w:val="00406BA7"/>
    <w:rsid w:val="00407C74"/>
    <w:rsid w:val="004500D1"/>
    <w:rsid w:val="004501BF"/>
    <w:rsid w:val="0045338B"/>
    <w:rsid w:val="00456101"/>
    <w:rsid w:val="004636D1"/>
    <w:rsid w:val="00465254"/>
    <w:rsid w:val="00465C6D"/>
    <w:rsid w:val="00483195"/>
    <w:rsid w:val="00485A67"/>
    <w:rsid w:val="00486269"/>
    <w:rsid w:val="00490E03"/>
    <w:rsid w:val="00493779"/>
    <w:rsid w:val="004A1D0B"/>
    <w:rsid w:val="004A3FCA"/>
    <w:rsid w:val="004A5BD5"/>
    <w:rsid w:val="004A6AD7"/>
    <w:rsid w:val="004C1A6C"/>
    <w:rsid w:val="004D6536"/>
    <w:rsid w:val="004D6EFE"/>
    <w:rsid w:val="004E4ED7"/>
    <w:rsid w:val="004F05DC"/>
    <w:rsid w:val="004F65A7"/>
    <w:rsid w:val="00500663"/>
    <w:rsid w:val="00507767"/>
    <w:rsid w:val="00522578"/>
    <w:rsid w:val="00523A04"/>
    <w:rsid w:val="00534071"/>
    <w:rsid w:val="0054246D"/>
    <w:rsid w:val="00545523"/>
    <w:rsid w:val="005650CE"/>
    <w:rsid w:val="00570080"/>
    <w:rsid w:val="00570A92"/>
    <w:rsid w:val="00577B7E"/>
    <w:rsid w:val="00594A64"/>
    <w:rsid w:val="00594E25"/>
    <w:rsid w:val="00597483"/>
    <w:rsid w:val="00597A79"/>
    <w:rsid w:val="005A415A"/>
    <w:rsid w:val="005A5372"/>
    <w:rsid w:val="005B192C"/>
    <w:rsid w:val="005C594E"/>
    <w:rsid w:val="005D19A3"/>
    <w:rsid w:val="005D6352"/>
    <w:rsid w:val="005D7BED"/>
    <w:rsid w:val="005E33B4"/>
    <w:rsid w:val="005E7A50"/>
    <w:rsid w:val="005F3A87"/>
    <w:rsid w:val="00604590"/>
    <w:rsid w:val="006066EC"/>
    <w:rsid w:val="00606F87"/>
    <w:rsid w:val="00610649"/>
    <w:rsid w:val="00610B23"/>
    <w:rsid w:val="006219B0"/>
    <w:rsid w:val="00621EF0"/>
    <w:rsid w:val="006304FA"/>
    <w:rsid w:val="00631A31"/>
    <w:rsid w:val="00633C39"/>
    <w:rsid w:val="00647B75"/>
    <w:rsid w:val="006530FD"/>
    <w:rsid w:val="0066794D"/>
    <w:rsid w:val="006775B7"/>
    <w:rsid w:val="0068158E"/>
    <w:rsid w:val="006B0F38"/>
    <w:rsid w:val="006B0FEA"/>
    <w:rsid w:val="006B5F18"/>
    <w:rsid w:val="006C3BA5"/>
    <w:rsid w:val="006C416F"/>
    <w:rsid w:val="006C50B9"/>
    <w:rsid w:val="006D7ED1"/>
    <w:rsid w:val="006F06D4"/>
    <w:rsid w:val="006F5662"/>
    <w:rsid w:val="006F7F11"/>
    <w:rsid w:val="007006CA"/>
    <w:rsid w:val="00704CA6"/>
    <w:rsid w:val="00705A84"/>
    <w:rsid w:val="00714D0A"/>
    <w:rsid w:val="00715A2A"/>
    <w:rsid w:val="00721E50"/>
    <w:rsid w:val="007334E3"/>
    <w:rsid w:val="007402DE"/>
    <w:rsid w:val="0074251F"/>
    <w:rsid w:val="00751E13"/>
    <w:rsid w:val="007525E4"/>
    <w:rsid w:val="00755B66"/>
    <w:rsid w:val="00756DE8"/>
    <w:rsid w:val="00757097"/>
    <w:rsid w:val="007669F9"/>
    <w:rsid w:val="00771FF1"/>
    <w:rsid w:val="00786F0A"/>
    <w:rsid w:val="00791B20"/>
    <w:rsid w:val="00796ADB"/>
    <w:rsid w:val="007B020B"/>
    <w:rsid w:val="007B350E"/>
    <w:rsid w:val="007B6B40"/>
    <w:rsid w:val="007C0CFE"/>
    <w:rsid w:val="007C3B64"/>
    <w:rsid w:val="007D3117"/>
    <w:rsid w:val="007D5D0B"/>
    <w:rsid w:val="007E64F5"/>
    <w:rsid w:val="007E7E8C"/>
    <w:rsid w:val="007F3F40"/>
    <w:rsid w:val="007F4582"/>
    <w:rsid w:val="00805A16"/>
    <w:rsid w:val="00824D06"/>
    <w:rsid w:val="00827C78"/>
    <w:rsid w:val="00836109"/>
    <w:rsid w:val="008411C7"/>
    <w:rsid w:val="00844679"/>
    <w:rsid w:val="00845183"/>
    <w:rsid w:val="00847462"/>
    <w:rsid w:val="00850D86"/>
    <w:rsid w:val="00851CAC"/>
    <w:rsid w:val="00855D21"/>
    <w:rsid w:val="00861AE3"/>
    <w:rsid w:val="00872CBC"/>
    <w:rsid w:val="0087370F"/>
    <w:rsid w:val="00880D1E"/>
    <w:rsid w:val="00884977"/>
    <w:rsid w:val="00886F07"/>
    <w:rsid w:val="00890333"/>
    <w:rsid w:val="008906DA"/>
    <w:rsid w:val="00892830"/>
    <w:rsid w:val="008967E9"/>
    <w:rsid w:val="00897C75"/>
    <w:rsid w:val="008A3257"/>
    <w:rsid w:val="008A6A84"/>
    <w:rsid w:val="008B08E6"/>
    <w:rsid w:val="008B3A62"/>
    <w:rsid w:val="008B6FBD"/>
    <w:rsid w:val="008B7189"/>
    <w:rsid w:val="008C64D7"/>
    <w:rsid w:val="008C6AE0"/>
    <w:rsid w:val="008D2247"/>
    <w:rsid w:val="008E0251"/>
    <w:rsid w:val="008E145F"/>
    <w:rsid w:val="008E69BC"/>
    <w:rsid w:val="008E7372"/>
    <w:rsid w:val="008E759F"/>
    <w:rsid w:val="008F0A2E"/>
    <w:rsid w:val="009018C2"/>
    <w:rsid w:val="0092116A"/>
    <w:rsid w:val="00930574"/>
    <w:rsid w:val="00935D74"/>
    <w:rsid w:val="00941579"/>
    <w:rsid w:val="009445D2"/>
    <w:rsid w:val="00945E47"/>
    <w:rsid w:val="00952A2D"/>
    <w:rsid w:val="009668A2"/>
    <w:rsid w:val="009734B1"/>
    <w:rsid w:val="00992BD3"/>
    <w:rsid w:val="00992C8A"/>
    <w:rsid w:val="009A1444"/>
    <w:rsid w:val="009A1E61"/>
    <w:rsid w:val="009C1415"/>
    <w:rsid w:val="009C192A"/>
    <w:rsid w:val="009C6BB1"/>
    <w:rsid w:val="009C71D0"/>
    <w:rsid w:val="009C7E93"/>
    <w:rsid w:val="009D0240"/>
    <w:rsid w:val="009E142C"/>
    <w:rsid w:val="009F38F8"/>
    <w:rsid w:val="009F5D92"/>
    <w:rsid w:val="00A00758"/>
    <w:rsid w:val="00A0564D"/>
    <w:rsid w:val="00A070BD"/>
    <w:rsid w:val="00A12477"/>
    <w:rsid w:val="00A1319D"/>
    <w:rsid w:val="00A20053"/>
    <w:rsid w:val="00A2518E"/>
    <w:rsid w:val="00A50575"/>
    <w:rsid w:val="00A564ED"/>
    <w:rsid w:val="00A61C34"/>
    <w:rsid w:val="00A66A34"/>
    <w:rsid w:val="00A8503A"/>
    <w:rsid w:val="00A90385"/>
    <w:rsid w:val="00A95B80"/>
    <w:rsid w:val="00AA1649"/>
    <w:rsid w:val="00AB065C"/>
    <w:rsid w:val="00AC58A1"/>
    <w:rsid w:val="00AD6FC0"/>
    <w:rsid w:val="00AD7D22"/>
    <w:rsid w:val="00AD7FC2"/>
    <w:rsid w:val="00AE1748"/>
    <w:rsid w:val="00AE425E"/>
    <w:rsid w:val="00AE4F40"/>
    <w:rsid w:val="00AF155A"/>
    <w:rsid w:val="00AF36EA"/>
    <w:rsid w:val="00AF377C"/>
    <w:rsid w:val="00B056DA"/>
    <w:rsid w:val="00B10984"/>
    <w:rsid w:val="00B21E92"/>
    <w:rsid w:val="00B22DB1"/>
    <w:rsid w:val="00B24A02"/>
    <w:rsid w:val="00B30002"/>
    <w:rsid w:val="00B34B68"/>
    <w:rsid w:val="00B45308"/>
    <w:rsid w:val="00B45EE6"/>
    <w:rsid w:val="00B5513D"/>
    <w:rsid w:val="00B61AEA"/>
    <w:rsid w:val="00B61B2C"/>
    <w:rsid w:val="00B62819"/>
    <w:rsid w:val="00B75FFD"/>
    <w:rsid w:val="00B76DC5"/>
    <w:rsid w:val="00B807B7"/>
    <w:rsid w:val="00B85060"/>
    <w:rsid w:val="00B94AE1"/>
    <w:rsid w:val="00B960EB"/>
    <w:rsid w:val="00BA2FFC"/>
    <w:rsid w:val="00BA37D5"/>
    <w:rsid w:val="00BA40D4"/>
    <w:rsid w:val="00BA7D49"/>
    <w:rsid w:val="00BB0D1F"/>
    <w:rsid w:val="00BC45AB"/>
    <w:rsid w:val="00BC77D2"/>
    <w:rsid w:val="00BC7E56"/>
    <w:rsid w:val="00BD175C"/>
    <w:rsid w:val="00BE05AA"/>
    <w:rsid w:val="00BE325F"/>
    <w:rsid w:val="00BE54F4"/>
    <w:rsid w:val="00BF4DE6"/>
    <w:rsid w:val="00C068F8"/>
    <w:rsid w:val="00C1429D"/>
    <w:rsid w:val="00C1480E"/>
    <w:rsid w:val="00C220EB"/>
    <w:rsid w:val="00C23916"/>
    <w:rsid w:val="00C24665"/>
    <w:rsid w:val="00C250A7"/>
    <w:rsid w:val="00C27429"/>
    <w:rsid w:val="00C32A0A"/>
    <w:rsid w:val="00C50325"/>
    <w:rsid w:val="00C510E9"/>
    <w:rsid w:val="00C56BEE"/>
    <w:rsid w:val="00C634AE"/>
    <w:rsid w:val="00C668B2"/>
    <w:rsid w:val="00C71BAA"/>
    <w:rsid w:val="00C74EC3"/>
    <w:rsid w:val="00C871ED"/>
    <w:rsid w:val="00C87610"/>
    <w:rsid w:val="00C934B5"/>
    <w:rsid w:val="00C949C6"/>
    <w:rsid w:val="00C97A7F"/>
    <w:rsid w:val="00CB36C9"/>
    <w:rsid w:val="00CB59E6"/>
    <w:rsid w:val="00CC3531"/>
    <w:rsid w:val="00CC6474"/>
    <w:rsid w:val="00CC6EFD"/>
    <w:rsid w:val="00CD7698"/>
    <w:rsid w:val="00CE7213"/>
    <w:rsid w:val="00CF22E0"/>
    <w:rsid w:val="00CF7CC0"/>
    <w:rsid w:val="00D079FB"/>
    <w:rsid w:val="00D119B4"/>
    <w:rsid w:val="00D1378C"/>
    <w:rsid w:val="00D153DC"/>
    <w:rsid w:val="00D2061F"/>
    <w:rsid w:val="00D21766"/>
    <w:rsid w:val="00D25F45"/>
    <w:rsid w:val="00D279C7"/>
    <w:rsid w:val="00D41491"/>
    <w:rsid w:val="00D455FF"/>
    <w:rsid w:val="00D55D1A"/>
    <w:rsid w:val="00D5756C"/>
    <w:rsid w:val="00D630AA"/>
    <w:rsid w:val="00D63963"/>
    <w:rsid w:val="00D63DC1"/>
    <w:rsid w:val="00D65925"/>
    <w:rsid w:val="00D72204"/>
    <w:rsid w:val="00D93321"/>
    <w:rsid w:val="00DA7303"/>
    <w:rsid w:val="00DB585B"/>
    <w:rsid w:val="00DB70F0"/>
    <w:rsid w:val="00DC13F9"/>
    <w:rsid w:val="00DC7A3D"/>
    <w:rsid w:val="00DD4BB5"/>
    <w:rsid w:val="00DE4FD1"/>
    <w:rsid w:val="00DF2930"/>
    <w:rsid w:val="00E00B7C"/>
    <w:rsid w:val="00E00E21"/>
    <w:rsid w:val="00E01FFF"/>
    <w:rsid w:val="00E07655"/>
    <w:rsid w:val="00E13435"/>
    <w:rsid w:val="00E20E00"/>
    <w:rsid w:val="00E23988"/>
    <w:rsid w:val="00E26C14"/>
    <w:rsid w:val="00E4493E"/>
    <w:rsid w:val="00E47740"/>
    <w:rsid w:val="00E528BA"/>
    <w:rsid w:val="00E55A2F"/>
    <w:rsid w:val="00E63D20"/>
    <w:rsid w:val="00E72B50"/>
    <w:rsid w:val="00E73C04"/>
    <w:rsid w:val="00E76EBD"/>
    <w:rsid w:val="00E90D12"/>
    <w:rsid w:val="00E912C2"/>
    <w:rsid w:val="00E9218C"/>
    <w:rsid w:val="00E94F89"/>
    <w:rsid w:val="00E95EC4"/>
    <w:rsid w:val="00E97993"/>
    <w:rsid w:val="00EA3909"/>
    <w:rsid w:val="00EB4D31"/>
    <w:rsid w:val="00EB7087"/>
    <w:rsid w:val="00EC1D91"/>
    <w:rsid w:val="00EC3AB6"/>
    <w:rsid w:val="00EC3F1C"/>
    <w:rsid w:val="00EC4014"/>
    <w:rsid w:val="00EC5F9A"/>
    <w:rsid w:val="00ED4668"/>
    <w:rsid w:val="00EE0445"/>
    <w:rsid w:val="00EE688B"/>
    <w:rsid w:val="00EF7AF2"/>
    <w:rsid w:val="00F012F1"/>
    <w:rsid w:val="00F063F3"/>
    <w:rsid w:val="00F065CF"/>
    <w:rsid w:val="00F12862"/>
    <w:rsid w:val="00F16B49"/>
    <w:rsid w:val="00F23B1F"/>
    <w:rsid w:val="00F24398"/>
    <w:rsid w:val="00F2650A"/>
    <w:rsid w:val="00F3499C"/>
    <w:rsid w:val="00F42BA9"/>
    <w:rsid w:val="00F46079"/>
    <w:rsid w:val="00F60C64"/>
    <w:rsid w:val="00F619D5"/>
    <w:rsid w:val="00F64FC6"/>
    <w:rsid w:val="00F65833"/>
    <w:rsid w:val="00F73FE3"/>
    <w:rsid w:val="00F74416"/>
    <w:rsid w:val="00F83AAD"/>
    <w:rsid w:val="00F85EF2"/>
    <w:rsid w:val="00F918BB"/>
    <w:rsid w:val="00F963ED"/>
    <w:rsid w:val="00F96A90"/>
    <w:rsid w:val="00FA7AAA"/>
    <w:rsid w:val="00FB2E84"/>
    <w:rsid w:val="00FB450E"/>
    <w:rsid w:val="00FB6979"/>
    <w:rsid w:val="00FB7BBA"/>
    <w:rsid w:val="00FC034D"/>
    <w:rsid w:val="00FC3FA5"/>
    <w:rsid w:val="00FC4270"/>
    <w:rsid w:val="00FD5DF4"/>
    <w:rsid w:val="00FD6FBD"/>
    <w:rsid w:val="00FD7480"/>
    <w:rsid w:val="00FE3D76"/>
    <w:rsid w:val="00FE4EAF"/>
    <w:rsid w:val="00FF00EC"/>
  </w:rsids>
  <w:docVars>
    <w:docVar w:name="__Grammarly_42___1" w:val="H4sIAAAAAAAEAKtWcslP9kxRslIyNDY0szAwMDM0NrW0MLG0MDBT0lEKTi0uzszPAymwqAUAJJxrLSwAAAA="/>
    <w:docVar w:name="__Grammarly_42____i" w:val="H4sIAAAAAAAEAKtWckksSQxILCpxzi/NK1GyMqwFAAEhoTITAAAA"/>
  </w:docVars>
  <m:mathPr>
    <m:mathFont m:val="Cambria Math"/>
  </m:mathPr>
  <w:themeFontLang w:val="sw-KE"/>
  <w:clrSchemeMapping w:bg1="light1" w:t1="dark1" w:bg2="light2" w:t2="dark2" w:accent1="accent1" w:accent2="accent2" w:accent3="accent3" w:accent4="accent4" w:accent5="accent5" w:accent6="accent6" w:hyperlink="hyperlink" w:followedHyperlink="followedHyperlink"/>
  <w15:chartTrackingRefBased/>
  <w15:docId w15:val="{1DA3C75E-9923-4CBA-BD24-50D53C8F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KIR00</b:Tag>
    <b:SourceType>Case</b:SourceType>
    <b:Guid>{77F58C2B-5EDC-4D0C-9F9D-12FBEA971DF7}</b:Guid>
    <b:Title>KIRK v. CITY OF SHAWNEE</b:Title>
    <b:Year>2000</b:Year>
    <b:Month>August</b:Month>
    <b:Day>11</b:Day>
    <b:CaseNumber>84489</b:CaseNumber>
    <b:Court>Cour of Appeals of Kansas</b:Court>
    <b:RefOrder>3</b:RefOrder>
  </b:Source>
  <b:Source>
    <b:Tag>Kir00</b:Tag>
    <b:SourceType>InternetSite</b:SourceType>
    <b:Guid>{AD5DBF25-1037-4391-90A2-6ACC47EDB959}</b:Guid>
    <b:Title>Kirk v. City of Shawnee, Kansas Case No. 84489</b:Title>
    <b:Year>2000</b:Year>
    <b:Month>August</b:Month>
    <b:Day>11</b:Day>
    <b:InternetSiteTitle>Kansas Courts Opinions</b:InternetSiteTitle>
    <b:URL>http://www.kscourts.org/cases-and-opinions/opinions/ctapp/2000/20000811/84489.htm</b:URL>
    <b:Author>
      <b:Author>
        <b:Corporate>Kansas Opinions</b:Corporate>
      </b:Author>
    </b:Author>
    <b:RefOrder>1</b:RefOrder>
  </b:Source>
  <b:Source>
    <b:Tag>Dan12</b:Tag>
    <b:SourceType>BookSection</b:SourceType>
    <b:Guid>{42A7BDDE-B00D-47EF-B74E-181BB7A271D5}</b:Guid>
    <b:Title>Chapter 11: Accountability through Liability</b:Title>
    <b:Year>2012</b:Year>
    <b:Author>
      <b:Author>
        <b:NameList>
          <b:Person>
            <b:Last>Hall</b:Last>
            <b:First>Danie</b:First>
            <b:Middle>E.</b:Middle>
          </b:Person>
        </b:NameList>
      </b:Author>
      <b:BookAuthor>
        <b:NameList>
          <b:Person>
            <b:Last>Hall</b:Last>
            <b:First>Danie</b:First>
            <b:Middle>E.</b:Middle>
          </b:Person>
        </b:NameList>
      </b:BookAuthor>
    </b:Author>
    <b:BookTitle>Administrative Law: Bureaucracy in a Democracy</b:BookTitle>
    <b:Pages>121-136</b:Pages>
    <b:City>London</b:City>
    <b:Publisher>Pearson/Prentice Hall</b:Publisher>
    <b:RefOrder>2</b:RefOrder>
  </b:Source>
</b:Sources>
</file>

<file path=customXml/itemProps1.xml><?xml version="1.0" encoding="utf-8"?>
<ds:datastoreItem xmlns:ds="http://schemas.openxmlformats.org/officeDocument/2006/customXml" ds:itemID="{60220771-366F-4C12-AAC8-B454E8CC8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6</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Antonny Mwendwa</cp:lastModifiedBy>
  <cp:revision>11</cp:revision>
  <dcterms:created xsi:type="dcterms:W3CDTF">2018-10-23T12:11:00Z</dcterms:created>
  <dcterms:modified xsi:type="dcterms:W3CDTF">2018-10-23T17:52:00Z</dcterms:modified>
</cp:coreProperties>
</file>